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pacing w:after="0" w:line="16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39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48895</wp:posOffset>
            </wp:positionV>
            <wp:extent cx="14230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9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59055</wp:posOffset>
            </wp:positionV>
            <wp:extent cx="14230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8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7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6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59055</wp:posOffset>
            </wp:positionV>
            <wp:extent cx="1423035"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1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9"/>
          <w:szCs w:val="29"/>
          <w:b w:val="1"/>
          <w:bCs w:val="1"/>
          <w:color w:val="auto"/>
        </w:rPr>
        <w:t>ALTIMMUNE, INC.</w:t>
      </w:r>
    </w:p>
    <w:p>
      <w:pPr>
        <w:spacing w:after="0" w:line="3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48895</wp:posOffset>
            </wp:positionV>
            <wp:extent cx="142303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204" w:lineRule="exact"/>
        <w:rPr>
          <w:sz w:val="24"/>
          <w:szCs w:val="24"/>
          <w:color w:val="auto"/>
        </w:rPr>
      </w:pPr>
    </w:p>
    <w:tbl>
      <w:tblPr>
        <w:tblLayout w:type="fixed"/>
        <w:tblInd w:w="760" w:type="dxa"/>
        <w:tblCellMar>
          <w:top w:w="0" w:type="dxa"/>
          <w:left w:w="0" w:type="dxa"/>
          <w:bottom w:w="0" w:type="dxa"/>
          <w:right w:w="0" w:type="dxa"/>
        </w:tblCellMar>
      </w:tblPr>
      <w:tr>
        <w:trPr>
          <w:trHeight w:val="142"/>
        </w:trPr>
        <w:tc>
          <w:tcPr>
            <w:tcW w:w="1800" w:type="dxa"/>
            <w:vAlign w:val="bottom"/>
          </w:tcPr>
          <w:p>
            <w:pPr>
              <w:jc w:val="center"/>
              <w:ind w:right="186"/>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14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001-32587</w:t>
            </w: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20-2726770</w:t>
            </w:r>
          </w:p>
        </w:tc>
      </w:tr>
      <w:tr>
        <w:trPr>
          <w:trHeight w:val="99"/>
        </w:trPr>
        <w:tc>
          <w:tcPr>
            <w:tcW w:w="1800" w:type="dxa"/>
            <w:vAlign w:val="bottom"/>
          </w:tcPr>
          <w:p>
            <w:pPr>
              <w:jc w:val="center"/>
              <w:ind w:right="166"/>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4140" w:type="dxa"/>
            <w:vAlign w:val="bottom"/>
          </w:tcPr>
          <w:p>
            <w:pPr>
              <w:ind w:left="17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240" w:type="dxa"/>
            <w:vAlign w:val="bottom"/>
          </w:tcPr>
          <w:p>
            <w:pPr>
              <w:jc w:val="center"/>
              <w:ind w:left="407"/>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80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4140" w:type="dxa"/>
            <w:vAlign w:val="bottom"/>
          </w:tcPr>
          <w:p>
            <w:pPr>
              <w:ind w:left="176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240" w:type="dxa"/>
            <w:vAlign w:val="bottom"/>
          </w:tcPr>
          <w:p>
            <w:pPr>
              <w:jc w:val="center"/>
              <w:ind w:left="42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18"/>
        </w:trPr>
        <w:tc>
          <w:tcPr>
            <w:tcW w:w="1800" w:type="dxa"/>
            <w:vAlign w:val="bottom"/>
          </w:tcPr>
          <w:p>
            <w:pPr>
              <w:jc w:val="center"/>
              <w:ind w:right="166"/>
              <w:spacing w:after="0"/>
              <w:rPr>
                <w:sz w:val="20"/>
                <w:szCs w:val="20"/>
                <w:color w:val="auto"/>
              </w:rPr>
            </w:pPr>
            <w:r>
              <w:rPr>
                <w:rFonts w:ascii="Times New Roman" w:cs="Times New Roman" w:eastAsia="Times New Roman" w:hAnsi="Times New Roman"/>
                <w:sz w:val="12"/>
                <w:szCs w:val="12"/>
                <w:b w:val="1"/>
                <w:bCs w:val="1"/>
                <w:color w:val="auto"/>
              </w:rPr>
              <w:t>910 Clopper Road, Suite 201S</w:t>
            </w:r>
          </w:p>
        </w:tc>
        <w:tc>
          <w:tcPr>
            <w:tcW w:w="4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42"/>
        </w:trPr>
        <w:tc>
          <w:tcPr>
            <w:tcW w:w="1800" w:type="dxa"/>
            <w:vAlign w:val="bottom"/>
          </w:tcPr>
          <w:p>
            <w:pPr>
              <w:jc w:val="center"/>
              <w:ind w:right="166"/>
              <w:spacing w:after="0"/>
              <w:rPr>
                <w:sz w:val="20"/>
                <w:szCs w:val="20"/>
                <w:color w:val="auto"/>
              </w:rPr>
            </w:pPr>
            <w:r>
              <w:rPr>
                <w:rFonts w:ascii="Times New Roman" w:cs="Times New Roman" w:eastAsia="Times New Roman" w:hAnsi="Times New Roman"/>
                <w:sz w:val="12"/>
                <w:szCs w:val="12"/>
                <w:b w:val="1"/>
                <w:bCs w:val="1"/>
                <w:color w:val="auto"/>
                <w:w w:val="99"/>
              </w:rPr>
              <w:t>Gaithersburg, Maryland</w:t>
            </w:r>
          </w:p>
        </w:tc>
        <w:tc>
          <w:tcPr>
            <w:tcW w:w="4140" w:type="dxa"/>
            <w:vAlign w:val="bottom"/>
          </w:tcPr>
          <w:p>
            <w:pPr>
              <w:spacing w:after="0"/>
              <w:rPr>
                <w:sz w:val="12"/>
                <w:szCs w:val="12"/>
                <w:color w:val="auto"/>
              </w:rPr>
            </w:pPr>
          </w:p>
        </w:tc>
        <w:tc>
          <w:tcPr>
            <w:tcW w:w="124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20878</w:t>
            </w:r>
          </w:p>
        </w:tc>
      </w:tr>
      <w:tr>
        <w:trPr>
          <w:trHeight w:val="125"/>
        </w:trPr>
        <w:tc>
          <w:tcPr>
            <w:tcW w:w="180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4140" w:type="dxa"/>
            <w:vAlign w:val="bottom"/>
          </w:tcPr>
          <w:p>
            <w:pPr>
              <w:spacing w:after="0"/>
              <w:rPr>
                <w:sz w:val="10"/>
                <w:szCs w:val="10"/>
                <w:color w:val="auto"/>
              </w:rPr>
            </w:pPr>
          </w:p>
        </w:tc>
        <w:tc>
          <w:tcPr>
            <w:tcW w:w="1240" w:type="dxa"/>
            <w:vAlign w:val="bottom"/>
          </w:tcPr>
          <w:p>
            <w:pPr>
              <w:jc w:val="center"/>
              <w:ind w:left="42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215"/>
        </w:trPr>
        <w:tc>
          <w:tcPr>
            <w:tcW w:w="1800" w:type="dxa"/>
            <w:vAlign w:val="bottom"/>
          </w:tcPr>
          <w:p>
            <w:pPr>
              <w:spacing w:after="0"/>
              <w:rPr>
                <w:sz w:val="18"/>
                <w:szCs w:val="18"/>
                <w:color w:val="auto"/>
              </w:rPr>
            </w:pPr>
          </w:p>
        </w:tc>
        <w:tc>
          <w:tcPr>
            <w:tcW w:w="4140" w:type="dxa"/>
            <w:vAlign w:val="bottom"/>
          </w:tcPr>
          <w:p>
            <w:pPr>
              <w:jc w:val="center"/>
              <w:ind w:right="187"/>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(240) 654-1450</w:t>
            </w:r>
          </w:p>
        </w:tc>
        <w:tc>
          <w:tcPr>
            <w:tcW w:w="1240" w:type="dxa"/>
            <w:vAlign w:val="bottom"/>
          </w:tcPr>
          <w:p>
            <w:pPr>
              <w:spacing w:after="0"/>
              <w:rPr>
                <w:sz w:val="18"/>
                <w:szCs w:val="18"/>
                <w:color w:val="auto"/>
              </w:rPr>
            </w:pPr>
          </w:p>
        </w:tc>
      </w:tr>
      <w:tr>
        <w:trPr>
          <w:trHeight w:val="181"/>
        </w:trPr>
        <w:tc>
          <w:tcPr>
            <w:tcW w:w="1800" w:type="dxa"/>
            <w:vAlign w:val="bottom"/>
          </w:tcPr>
          <w:p>
            <w:pPr>
              <w:spacing w:after="0"/>
              <w:rPr>
                <w:sz w:val="15"/>
                <w:szCs w:val="15"/>
                <w:color w:val="auto"/>
              </w:rPr>
            </w:pPr>
          </w:p>
        </w:tc>
        <w:tc>
          <w:tcPr>
            <w:tcW w:w="414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2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85090</wp:posOffset>
            </wp:positionV>
            <wp:extent cx="14230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600" w:hanging="36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00" w:hanging="36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00" w:hanging="36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00" w:hanging="362"/>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7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250" w:type="dxa"/>
        <w:tblCellMar>
          <w:top w:w="0" w:type="dxa"/>
          <w:left w:w="0" w:type="dxa"/>
          <w:bottom w:w="0" w:type="dxa"/>
          <w:right w:w="0" w:type="dxa"/>
        </w:tblCellMar>
      </w:tblPr>
      <w:tr>
        <w:trPr>
          <w:trHeight w:val="153"/>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6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15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4"/>
              </w:rPr>
              <w:t>ALT</w:t>
            </w:r>
          </w:p>
        </w:tc>
        <w:tc>
          <w:tcPr>
            <w:tcW w:w="33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Global Market</w:t>
            </w:r>
          </w:p>
        </w:tc>
      </w:tr>
    </w:tbl>
    <w:p>
      <w:pPr>
        <w:spacing w:after="0" w:line="70" w:lineRule="exact"/>
        <w:rPr>
          <w:sz w:val="24"/>
          <w:szCs w:val="24"/>
          <w:color w:val="auto"/>
        </w:rPr>
      </w:pPr>
    </w:p>
    <w:p>
      <w:pPr>
        <w:ind w:left="20" w:right="10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75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20" w:right="74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406400</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34925</wp:posOffset>
            </wp:positionV>
            <wp:extent cx="56921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63500</wp:posOffset>
            </wp:positionV>
            <wp:extent cx="56921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660"/>
          </w:cols>
          <w:pgMar w:left="1440" w:top="278" w:right="7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November 30, 2023, Altimmune, Inc. (the “Company”) issued a press release (the “Press Release”) announcing the topline results from its 48-week MOMENTUM Phase 2 obesity trial of pemvidutide, a copy of which is being furnished as Exhibit 99.1 to this Current Report on Form 8-K. The Company intends to host a conference call and live webcast to discuss the results on December 1, 2023 at 8:30 a.m. EST. The Company has made available a slide presentation to accompany the call, a copy of which is being furnished as Exhibit 99.2 to this Current Report on Form 8-K.</w:t>
      </w:r>
    </w:p>
    <w:p>
      <w:pPr>
        <w:spacing w:after="0" w:line="5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Exhibits 99.1 and 99.2 attached hereto, shall not be deemed “filed” for purposes of Section 18 of the Securities Exchange Act of 1934, as amended, or otherwise subject to the liabilities of that section, nor shall they be deemed incorporated by reference in any filing under the Securities Act of 1933, as amended, except as expressly set forth by specific reference in such a filing. The Company undertakes no obligation to update, supplement or amend the materials attached hereto as Exhibit 99.2.</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November 30, 2023, the Company announced topline results from its 48-week MOMENTUM Phase 2 obesity trial of pemvidutide. The trial enrolled 391 subjects with obesity or overweight with at least one co-morbidity and without diabetes.</w:t>
      </w:r>
    </w:p>
    <w:p>
      <w:pPr>
        <w:spacing w:after="0" w:line="39" w:lineRule="exact"/>
        <w:rPr>
          <w:sz w:val="20"/>
          <w:szCs w:val="20"/>
          <w:color w:val="auto"/>
        </w:rPr>
      </w:pPr>
    </w:p>
    <w:p>
      <w:pPr>
        <w:jc w:val="both"/>
        <w:ind w:left="20" w:right="39" w:firstLine="432"/>
        <w:spacing w:after="0" w:line="262" w:lineRule="auto"/>
        <w:rPr>
          <w:sz w:val="20"/>
          <w:szCs w:val="20"/>
          <w:color w:val="auto"/>
        </w:rPr>
      </w:pPr>
      <w:r>
        <w:rPr>
          <w:rFonts w:ascii="Times New Roman" w:cs="Times New Roman" w:eastAsia="Times New Roman" w:hAnsi="Times New Roman"/>
          <w:sz w:val="12"/>
          <w:szCs w:val="12"/>
          <w:color w:val="auto"/>
        </w:rPr>
        <w:t>Subjects were randomized 1:1:1:1 to 1.2 mg, 1.8 mg, 2.4 mg pemvidutide or placebo administered weekly for 48 weeks in conjunction with diet and exercise. The 1.2 mg and 1.8 mg doses were administered without dose titration, while a short 4-week titration period was employed for the 2.4 mg dose. At baseline, subjects had a mean age of approximately 50 years, mean body mass index (BMI) of approximately 37 kg/m</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and mean body weight of approximately 104 kg. Approximately 75% of subjects were female.</w:t>
      </w:r>
    </w:p>
    <w:p>
      <w:pPr>
        <w:spacing w:after="0" w:line="1"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At Week 48, subjects receiving pemvidutide achieved mean weight losses of 10.3%, 11.2%, 15.6% and 2.2% at the 1.2 mg, 1.8 mg, and 2.4 mg doses and placebo, respectively, with a near-linear trajectory of continued weight loss observed on the 2.4 mg dose at the end of treatment. Over 50% of subjects achieved at least 15% weight loss and over 30% of subjects achieved at least 20% weight loss on the 2.4 mg dose. As in prior clinical trials, pemvidutide resulted in robust reductions in serum lipids and improvements in blood pressure without imbalances in cardiac events, arrhythmias or clinically meaningful increases in heart rate. Glucose homeostasis was maintained, with no significant changes in fasting glucose or HbA1c.</w:t>
      </w:r>
    </w:p>
    <w:p>
      <w:pPr>
        <w:spacing w:after="0" w:line="56"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More subjects receiving pemvidutide stayed on study compared to those receiving placebo, with 74.1% of pemvidutide subjects completing the trial compared to 61.9% of placebo subjects. Nausea and vomiting comprised the majority of adverse events (AEs) and were predominantly mild to moderate in severity. Only one (1.0%) subject experienced a drug-related serious adverse event (SAE), a case of vomiting at the 2.4 mg dose. Rates of AEs leading to treatment discontinuation were 6.2% in subjects receiving placebo and 5.1%, 19.2%, and 19.6% in subjects receiving 1.2 mg, 1.8 mg and 2.4 mg of pemvidutide, respectively. Study discontinuations related to study drug occurred in 2.1% of placebo subjects and 4.1%, 16.2% and 15.5% in subjects receiving 1.2 mg, 1.8 mg and 2.4 mg of pemvidutide, respectively, with most discontinuations due to AEs in the pemvidutide groups occurring in the first 16 weeks of treatment. No AEs of special interest or major adverse cardiac events (MACE) were observed, and there were low rates of cardiac AEs, including arrhythmias, with no imbalance across pemvidutide or placebo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224155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2"/>
          <w:szCs w:val="12"/>
          <w:color w:val="auto"/>
        </w:rPr>
        <w:t>The tables below summarize the efficacy findings as well as safety and tolerability findings of the trial.</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Summary of Efficacy Findings</w:t>
      </w:r>
    </w:p>
    <w:p>
      <w:pPr>
        <w:spacing w:after="0" w:line="82" w:lineRule="exact"/>
        <w:rPr>
          <w:sz w:val="20"/>
          <w:szCs w:val="20"/>
          <w:color w:val="auto"/>
        </w:rPr>
      </w:pPr>
    </w:p>
    <w:tbl>
      <w:tblPr>
        <w:tblLayout w:type="fixed"/>
        <w:tblInd w:w="30" w:type="dxa"/>
        <w:tblCellMar>
          <w:top w:w="0" w:type="dxa"/>
          <w:left w:w="0" w:type="dxa"/>
          <w:bottom w:w="0" w:type="dxa"/>
          <w:right w:w="0" w:type="dxa"/>
        </w:tblCellMar>
      </w:tblPr>
      <w:tr>
        <w:trPr>
          <w:trHeight w:val="158"/>
        </w:trPr>
        <w:tc>
          <w:tcPr>
            <w:tcW w:w="2800" w:type="dxa"/>
            <w:vAlign w:val="bottom"/>
            <w:tcBorders>
              <w:top w:val="single" w:sz="8" w:color="auto"/>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Primary Endpoint: Body weight</w:t>
            </w:r>
          </w:p>
        </w:tc>
        <w:tc>
          <w:tcPr>
            <w:tcW w:w="1200" w:type="dxa"/>
            <w:vAlign w:val="bottom"/>
            <w:tcBorders>
              <w:top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Placebo</w:t>
            </w:r>
          </w:p>
        </w:tc>
        <w:tc>
          <w:tcPr>
            <w:tcW w:w="12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2"/>
        </w:trPr>
        <w:tc>
          <w:tcPr>
            <w:tcW w:w="2800" w:type="dxa"/>
            <w:vAlign w:val="bottom"/>
            <w:tcBorders>
              <w:lef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(N=98)</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(N=99)</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0" w:type="dxa"/>
            <w:vAlign w:val="bottom"/>
          </w:tcPr>
          <w:p>
            <w:pPr>
              <w:spacing w:after="0"/>
              <w:rPr>
                <w:sz w:val="1"/>
                <w:szCs w:val="1"/>
                <w:color w:val="auto"/>
              </w:rPr>
            </w:pPr>
          </w:p>
        </w:tc>
      </w:tr>
      <w:tr>
        <w:trPr>
          <w:trHeight w:val="81"/>
        </w:trPr>
        <w:tc>
          <w:tcPr>
            <w:tcW w:w="2800" w:type="dxa"/>
            <w:vAlign w:val="bottom"/>
            <w:tcBorders>
              <w:lef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Body weight, all subjects</w:t>
            </w:r>
          </w:p>
        </w:tc>
        <w:tc>
          <w:tcPr>
            <w:tcW w:w="120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w w:val="94"/>
              </w:rPr>
              <w:t>%, LSM (SE)</w:t>
            </w:r>
            <w:r>
              <w:rPr>
                <w:rFonts w:ascii="Times New Roman" w:cs="Times New Roman" w:eastAsia="Times New Roman" w:hAnsi="Times New Roman"/>
                <w:sz w:val="16"/>
                <w:szCs w:val="16"/>
                <w:color w:val="auto"/>
                <w:w w:val="94"/>
                <w:vertAlign w:val="superscript"/>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-2.2 (1.4)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-10.3 (1.4)***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-11.2 (1.4)***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-15.6 (1.4)***</w:t>
            </w:r>
          </w:p>
        </w:tc>
        <w:tc>
          <w:tcPr>
            <w:tcW w:w="0" w:type="dxa"/>
            <w:vAlign w:val="bottom"/>
          </w:tcPr>
          <w:p>
            <w:pPr>
              <w:spacing w:after="0"/>
              <w:rPr>
                <w:sz w:val="1"/>
                <w:szCs w:val="1"/>
                <w:color w:val="auto"/>
              </w:rPr>
            </w:pPr>
          </w:p>
        </w:tc>
      </w:tr>
      <w:tr>
        <w:trPr>
          <w:trHeight w:val="70"/>
        </w:trPr>
        <w:tc>
          <w:tcPr>
            <w:tcW w:w="28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80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Responder Analyses</w:t>
            </w:r>
          </w:p>
        </w:tc>
        <w:tc>
          <w:tcPr>
            <w:tcW w:w="1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Placebo</w:t>
            </w:r>
          </w:p>
        </w:tc>
        <w:tc>
          <w:tcPr>
            <w:tcW w:w="1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2"/>
        </w:trPr>
        <w:tc>
          <w:tcPr>
            <w:tcW w:w="2800" w:type="dxa"/>
            <w:vAlign w:val="bottom"/>
            <w:tcBorders>
              <w:lef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(N=51)</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(N=70)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(N=63)</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(N=56)</w:t>
            </w:r>
          </w:p>
        </w:tc>
        <w:tc>
          <w:tcPr>
            <w:tcW w:w="0" w:type="dxa"/>
            <w:vAlign w:val="bottom"/>
          </w:tcPr>
          <w:p>
            <w:pPr>
              <w:spacing w:after="0"/>
              <w:rPr>
                <w:sz w:val="1"/>
                <w:szCs w:val="1"/>
                <w:color w:val="auto"/>
              </w:rPr>
            </w:pPr>
          </w:p>
        </w:tc>
      </w:tr>
      <w:tr>
        <w:trPr>
          <w:trHeight w:val="81"/>
        </w:trPr>
        <w:tc>
          <w:tcPr>
            <w:tcW w:w="2800" w:type="dxa"/>
            <w:vAlign w:val="bottom"/>
            <w:tcBorders>
              <w:lef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Subjects w/ ≥5% weight loss</w:t>
            </w:r>
          </w:p>
        </w:tc>
        <w:tc>
          <w:tcPr>
            <w:tcW w:w="1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17.6%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68.6%****</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76.2%****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83.9%****</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Subjects w/ ≥10% weight loss</w:t>
            </w:r>
          </w:p>
        </w:tc>
        <w:tc>
          <w:tcPr>
            <w:tcW w:w="1200" w:type="dxa"/>
            <w:vAlign w:val="bottom"/>
            <w:tcBorders>
              <w:right w:val="single" w:sz="8" w:color="auto"/>
            </w:tcBorders>
            <w:vMerge w:val="restart"/>
          </w:tcPr>
          <w:p>
            <w:pPr>
              <w:jc w:val="center"/>
              <w:ind w:right="488"/>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vertAlign w:val="superscript"/>
              </w:rPr>
              <w:t>2</w:t>
            </w:r>
          </w:p>
        </w:tc>
        <w:tc>
          <w:tcPr>
            <w:tcW w:w="12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3.9%</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42.9%****</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49.2%****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71.4%****</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 Subjects w/ ≥15% weight loss</w:t>
            </w:r>
          </w:p>
        </w:tc>
        <w:tc>
          <w:tcPr>
            <w:tcW w:w="12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w w:val="95"/>
              </w:rPr>
              <w:t>2.0%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21.4%**</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28.6%***</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51.8%****</w:t>
            </w:r>
          </w:p>
        </w:tc>
        <w:tc>
          <w:tcPr>
            <w:tcW w:w="0" w:type="dxa"/>
            <w:vAlign w:val="bottom"/>
          </w:tcPr>
          <w:p>
            <w:pPr>
              <w:spacing w:after="0"/>
              <w:rPr>
                <w:sz w:val="1"/>
                <w:szCs w:val="1"/>
                <w:color w:val="auto"/>
              </w:rPr>
            </w:pPr>
          </w:p>
        </w:tc>
      </w:tr>
      <w:tr>
        <w:trPr>
          <w:trHeight w:val="44"/>
        </w:trPr>
        <w:tc>
          <w:tcPr>
            <w:tcW w:w="2800" w:type="dxa"/>
            <w:vAlign w:val="bottom"/>
            <w:tcBorders>
              <w:left w:val="single" w:sz="8" w:color="auto"/>
              <w:right w:val="single" w:sz="8" w:color="auto"/>
            </w:tcBorders>
            <w:vMerge w:val="continue"/>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26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Subjects w/ ≥20% weight loss</w:t>
            </w:r>
          </w:p>
        </w:tc>
        <w:tc>
          <w:tcPr>
            <w:tcW w:w="1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2.0%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10.0%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9.5%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32.1%****</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8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Secondary Endpoints</w:t>
            </w:r>
          </w:p>
        </w:tc>
        <w:tc>
          <w:tcPr>
            <w:tcW w:w="12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Placebo</w:t>
            </w:r>
          </w:p>
        </w:tc>
        <w:tc>
          <w:tcPr>
            <w:tcW w:w="1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0"/>
        </w:trPr>
        <w:tc>
          <w:tcPr>
            <w:tcW w:w="2800" w:type="dxa"/>
            <w:vAlign w:val="bottom"/>
            <w:tcBorders>
              <w:lef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(N=69)</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(N=58)</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(N=55)</w:t>
            </w:r>
          </w:p>
        </w:tc>
        <w:tc>
          <w:tcPr>
            <w:tcW w:w="0" w:type="dxa"/>
            <w:vAlign w:val="bottom"/>
          </w:tcPr>
          <w:p>
            <w:pPr>
              <w:spacing w:after="0"/>
              <w:rPr>
                <w:sz w:val="1"/>
                <w:szCs w:val="1"/>
                <w:color w:val="auto"/>
              </w:rPr>
            </w:pPr>
          </w:p>
        </w:tc>
      </w:tr>
      <w:tr>
        <w:trPr>
          <w:trHeight w:val="88"/>
        </w:trPr>
        <w:tc>
          <w:tcPr>
            <w:tcW w:w="280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Total cholesterol</w:t>
            </w:r>
          </w:p>
        </w:tc>
        <w:tc>
          <w:tcPr>
            <w:tcW w:w="1200" w:type="dxa"/>
            <w:vAlign w:val="bottom"/>
            <w:tcBorders>
              <w:right w:val="single" w:sz="8" w:color="auto"/>
            </w:tcBorders>
            <w:vMerge w:val="restart"/>
          </w:tcPr>
          <w:p>
            <w:pPr>
              <w:jc w:val="right"/>
              <w:ind w:right="528"/>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-2.8 (2.0)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-11.6 (1.7)**</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-13.1 (1.9)***</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-15.1 (2.0)***</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 LDL cholesterol</w:t>
            </w:r>
          </w:p>
        </w:tc>
        <w:tc>
          <w:tcPr>
            <w:tcW w:w="12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-2.8 (4.1)</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-6.2 (3.5)</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-11.2 (3.8)</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-9.9 (3.9)</w:t>
            </w:r>
          </w:p>
        </w:tc>
        <w:tc>
          <w:tcPr>
            <w:tcW w:w="0" w:type="dxa"/>
            <w:vAlign w:val="bottom"/>
          </w:tcPr>
          <w:p>
            <w:pPr>
              <w:spacing w:after="0"/>
              <w:rPr>
                <w:sz w:val="1"/>
                <w:szCs w:val="1"/>
                <w:color w:val="auto"/>
              </w:rPr>
            </w:pPr>
          </w:p>
        </w:tc>
      </w:tr>
      <w:tr>
        <w:trPr>
          <w:trHeight w:val="72"/>
        </w:trPr>
        <w:tc>
          <w:tcPr>
            <w:tcW w:w="280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ind w:right="8"/>
              <w:spacing w:after="0" w:line="101" w:lineRule="exact"/>
              <w:rPr>
                <w:sz w:val="20"/>
                <w:szCs w:val="20"/>
                <w:color w:val="auto"/>
              </w:rPr>
            </w:pPr>
            <w:r>
              <w:rPr>
                <w:rFonts w:ascii="Times New Roman" w:cs="Times New Roman" w:eastAsia="Times New Roman" w:hAnsi="Times New Roman"/>
                <w:sz w:val="8"/>
                <w:szCs w:val="8"/>
                <w:color w:val="auto"/>
              </w:rPr>
              <w:t>LSM (SE)</w:t>
            </w:r>
            <w:r>
              <w:rPr>
                <w:rFonts w:ascii="Times New Roman" w:cs="Times New Roman" w:eastAsia="Times New Roman" w:hAnsi="Times New Roman"/>
                <w:sz w:val="11"/>
                <w:szCs w:val="11"/>
                <w:color w:val="auto"/>
                <w:vertAlign w:val="superscript"/>
              </w:rPr>
              <w:t>3</w:t>
            </w:r>
          </w:p>
        </w:tc>
        <w:tc>
          <w:tcPr>
            <w:tcW w:w="124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Triglycerides</w:t>
            </w:r>
          </w:p>
        </w:tc>
        <w:tc>
          <w:tcPr>
            <w:tcW w:w="1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+7.3 (4.6)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-21.7 (3.9)***</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-22.3 (4.3)***</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-34.9 (4.4)***</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8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80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Blood Pressure and Heart Rate</w:t>
            </w:r>
          </w:p>
        </w:tc>
        <w:tc>
          <w:tcPr>
            <w:tcW w:w="1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Placebo</w:t>
            </w:r>
          </w:p>
        </w:tc>
        <w:tc>
          <w:tcPr>
            <w:tcW w:w="1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2"/>
        </w:trPr>
        <w:tc>
          <w:tcPr>
            <w:tcW w:w="2800" w:type="dxa"/>
            <w:vAlign w:val="bottom"/>
            <w:tcBorders>
              <w:lef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(N=98)</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(N=99)</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0" w:type="dxa"/>
            <w:vAlign w:val="bottom"/>
          </w:tcPr>
          <w:p>
            <w:pPr>
              <w:spacing w:after="0"/>
              <w:rPr>
                <w:sz w:val="1"/>
                <w:szCs w:val="1"/>
                <w:color w:val="auto"/>
              </w:rPr>
            </w:pPr>
          </w:p>
        </w:tc>
      </w:tr>
      <w:tr>
        <w:trPr>
          <w:trHeight w:val="81"/>
        </w:trPr>
        <w:tc>
          <w:tcPr>
            <w:tcW w:w="2800" w:type="dxa"/>
            <w:vAlign w:val="bottom"/>
            <w:tcBorders>
              <w:lef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Systolic BP</w:t>
            </w:r>
          </w:p>
        </w:tc>
        <w:tc>
          <w:tcPr>
            <w:tcW w:w="120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w w:val="94"/>
              </w:rPr>
              <w:t>mm Hg,</w:t>
            </w:r>
          </w:p>
        </w:tc>
        <w:tc>
          <w:tcPr>
            <w:tcW w:w="12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+3.5 (2.3)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-2.3 (2.2)</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-1.6 (2.2)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-4.6 (2.3)</w:t>
            </w:r>
          </w:p>
        </w:tc>
        <w:tc>
          <w:tcPr>
            <w:tcW w:w="0" w:type="dxa"/>
            <w:vAlign w:val="bottom"/>
          </w:tcPr>
          <w:p>
            <w:pPr>
              <w:spacing w:after="0"/>
              <w:rPr>
                <w:sz w:val="1"/>
                <w:szCs w:val="1"/>
                <w:color w:val="auto"/>
              </w:rPr>
            </w:pPr>
          </w:p>
        </w:tc>
      </w:tr>
      <w:tr>
        <w:trPr>
          <w:trHeight w:val="197"/>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 Diastolic BP</w:t>
            </w:r>
          </w:p>
        </w:tc>
        <w:tc>
          <w:tcPr>
            <w:tcW w:w="120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w w:val="98"/>
              </w:rPr>
              <w:t>LSM (SE)</w:t>
            </w:r>
            <w:r>
              <w:rPr>
                <w:rFonts w:ascii="Times New Roman" w:cs="Times New Roman" w:eastAsia="Times New Roman" w:hAnsi="Times New Roman"/>
                <w:sz w:val="16"/>
                <w:szCs w:val="16"/>
                <w:color w:val="auto"/>
                <w:w w:val="98"/>
                <w:vertAlign w:val="superscript"/>
              </w:rPr>
              <w:t>1</w:t>
            </w:r>
          </w:p>
        </w:tc>
        <w:tc>
          <w:tcPr>
            <w:tcW w:w="124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+1.8 (1.4)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-2.1 (1.3)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 (1.3)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-2.9 (1.4)</w:t>
            </w: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 Heart rate</w:t>
            </w:r>
          </w:p>
        </w:tc>
        <w:tc>
          <w:tcPr>
            <w:tcW w:w="120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1"/>
                <w:szCs w:val="11"/>
                <w:color w:val="auto"/>
                <w:w w:val="98"/>
              </w:rPr>
              <w:t>bpm,</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-1.4 (1.6)</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0.1 (1.5)</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3.1 (1.5)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2.5 (1.6)</w:t>
            </w:r>
          </w:p>
        </w:tc>
        <w:tc>
          <w:tcPr>
            <w:tcW w:w="0" w:type="dxa"/>
            <w:vAlign w:val="bottom"/>
          </w:tcPr>
          <w:p>
            <w:pPr>
              <w:spacing w:after="0"/>
              <w:rPr>
                <w:sz w:val="1"/>
                <w:szCs w:val="1"/>
                <w:color w:val="auto"/>
              </w:rPr>
            </w:pPr>
          </w:p>
        </w:tc>
      </w:tr>
      <w:tr>
        <w:trPr>
          <w:trHeight w:val="72"/>
        </w:trPr>
        <w:tc>
          <w:tcPr>
            <w:tcW w:w="280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ind w:right="8"/>
              <w:spacing w:after="0" w:line="166" w:lineRule="exact"/>
              <w:rPr>
                <w:sz w:val="20"/>
                <w:szCs w:val="20"/>
                <w:color w:val="auto"/>
              </w:rPr>
            </w:pPr>
            <w:r>
              <w:rPr>
                <w:rFonts w:ascii="Times New Roman" w:cs="Times New Roman" w:eastAsia="Times New Roman" w:hAnsi="Times New Roman"/>
                <w:sz w:val="11"/>
                <w:szCs w:val="11"/>
                <w:color w:val="auto"/>
                <w:w w:val="98"/>
              </w:rPr>
              <w:t>LSM (SE)</w:t>
            </w:r>
            <w:r>
              <w:rPr>
                <w:rFonts w:ascii="Times New Roman" w:cs="Times New Roman" w:eastAsia="Times New Roman" w:hAnsi="Times New Roman"/>
                <w:sz w:val="16"/>
                <w:szCs w:val="16"/>
                <w:color w:val="auto"/>
                <w:w w:val="98"/>
                <w:vertAlign w:val="superscript"/>
              </w:rPr>
              <w:t>1</w:t>
            </w:r>
          </w:p>
        </w:tc>
        <w:tc>
          <w:tcPr>
            <w:tcW w:w="124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4319" w:firstLine="2"/>
        <w:spacing w:after="0" w:line="227" w:lineRule="auto"/>
        <w:tabs>
          <w:tab w:leader="none" w:pos="80"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MMRM (mixed model for repeated measures),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CMH (Cochran Mantel Haenszel),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0"/>
          <w:szCs w:val="10"/>
          <w:color w:val="auto"/>
        </w:rPr>
        <w:t xml:space="preserve"> ANCOVA (analysis of covariance) *p &lt; 0.05; **p &lt; 0.005, ***p &lt; 0.001, ****p &lt; 0.0001 compared with placebo</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Summary of Safety and Tolerability</w:t>
      </w:r>
    </w:p>
    <w:p>
      <w:pPr>
        <w:spacing w:after="0" w:line="82" w:lineRule="exact"/>
        <w:rPr>
          <w:sz w:val="20"/>
          <w:szCs w:val="20"/>
          <w:color w:val="auto"/>
        </w:rPr>
      </w:pPr>
    </w:p>
    <w:tbl>
      <w:tblPr>
        <w:tblLayout w:type="fixed"/>
        <w:tblInd w:w="30" w:type="dxa"/>
        <w:tblCellMar>
          <w:top w:w="0" w:type="dxa"/>
          <w:left w:w="0" w:type="dxa"/>
          <w:bottom w:w="0" w:type="dxa"/>
          <w:right w:w="0" w:type="dxa"/>
        </w:tblCellMar>
      </w:tblPr>
      <w:tr>
        <w:trPr>
          <w:trHeight w:val="151"/>
        </w:trPr>
        <w:tc>
          <w:tcPr>
            <w:tcW w:w="2420" w:type="dxa"/>
            <w:vAlign w:val="bottom"/>
            <w:tcBorders>
              <w:top w:val="single" w:sz="8" w:color="auto"/>
              <w:lef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Adverse events (AEs)</w:t>
            </w:r>
          </w:p>
        </w:tc>
        <w:tc>
          <w:tcPr>
            <w:tcW w:w="1600" w:type="dxa"/>
            <w:vAlign w:val="bottom"/>
            <w:tcBorders>
              <w:top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Placebo</w:t>
            </w:r>
          </w:p>
        </w:tc>
        <w:tc>
          <w:tcPr>
            <w:tcW w:w="126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40" w:type="dxa"/>
            <w:vAlign w:val="bottom"/>
            <w:tcBorders>
              <w:top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20" w:type="dxa"/>
            <w:vAlign w:val="bottom"/>
            <w:tcBorders>
              <w:top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0"/>
        </w:trPr>
        <w:tc>
          <w:tcPr>
            <w:tcW w:w="2420" w:type="dxa"/>
            <w:vAlign w:val="bottom"/>
            <w:tcBorders>
              <w:left w:val="single" w:sz="8" w:color="auto"/>
            </w:tcBorders>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126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(N=98)</w:t>
            </w:r>
          </w:p>
        </w:tc>
        <w:tc>
          <w:tcPr>
            <w:tcW w:w="1240" w:type="dxa"/>
            <w:vAlign w:val="bottom"/>
            <w:tcBorders>
              <w:right w:val="single" w:sz="8" w:color="auto"/>
            </w:tcBorders>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(N=99)</w:t>
            </w: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(N=97)</w:t>
            </w:r>
          </w:p>
        </w:tc>
        <w:tc>
          <w:tcPr>
            <w:tcW w:w="0" w:type="dxa"/>
            <w:vAlign w:val="bottom"/>
          </w:tcPr>
          <w:p>
            <w:pPr>
              <w:spacing w:after="0"/>
              <w:rPr>
                <w:sz w:val="1"/>
                <w:szCs w:val="1"/>
                <w:color w:val="auto"/>
              </w:rPr>
            </w:pPr>
          </w:p>
        </w:tc>
      </w:tr>
      <w:tr>
        <w:trPr>
          <w:trHeight w:val="88"/>
        </w:trPr>
        <w:tc>
          <w:tcPr>
            <w:tcW w:w="2420" w:type="dxa"/>
            <w:vAlign w:val="bottom"/>
            <w:tcBorders>
              <w:left w:val="single" w:sz="8" w:color="auto"/>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gridSpan w:val="2"/>
            <w:vMerge w:val="continue"/>
          </w:tcPr>
          <w:p>
            <w:pPr>
              <w:spacing w:after="0"/>
              <w:rPr>
                <w:sz w:val="7"/>
                <w:szCs w:val="7"/>
                <w:color w:val="auto"/>
              </w:rPr>
            </w:pPr>
          </w:p>
        </w:tc>
        <w:tc>
          <w:tcPr>
            <w:tcW w:w="1260" w:type="dxa"/>
            <w:vAlign w:val="bottom"/>
            <w:tcBorders>
              <w:bottom w:val="single" w:sz="8" w:color="auto"/>
              <w:right w:val="single" w:sz="8" w:color="auto"/>
            </w:tcBorders>
            <w:gridSpan w:val="2"/>
            <w:vMerge w:val="continue"/>
          </w:tcPr>
          <w:p>
            <w:pPr>
              <w:spacing w:after="0"/>
              <w:rPr>
                <w:sz w:val="7"/>
                <w:szCs w:val="7"/>
                <w:color w:val="auto"/>
              </w:rPr>
            </w:pPr>
          </w:p>
        </w:tc>
        <w:tc>
          <w:tcPr>
            <w:tcW w:w="1240" w:type="dxa"/>
            <w:vAlign w:val="bottom"/>
            <w:tcBorders>
              <w:bottom w:val="single" w:sz="8" w:color="auto"/>
              <w:right w:val="single" w:sz="8" w:color="auto"/>
            </w:tcBorders>
            <w:gridSpan w:val="2"/>
            <w:vMerge w:val="continue"/>
          </w:tcPr>
          <w:p>
            <w:pPr>
              <w:spacing w:after="0"/>
              <w:rPr>
                <w:sz w:val="7"/>
                <w:szCs w:val="7"/>
                <w:color w:val="auto"/>
              </w:rPr>
            </w:pPr>
          </w:p>
        </w:tc>
        <w:tc>
          <w:tcPr>
            <w:tcW w:w="122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SAEs related to study drug</w:t>
            </w:r>
          </w:p>
        </w:tc>
        <w:tc>
          <w:tcPr>
            <w:tcW w:w="16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(0.0%)</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(0.0%)</w:t>
            </w:r>
          </w:p>
        </w:tc>
        <w:tc>
          <w:tcPr>
            <w:tcW w:w="1220" w:type="dxa"/>
            <w:vAlign w:val="bottom"/>
            <w:tcBorders>
              <w:bottom w:val="single" w:sz="8" w:color="auto"/>
              <w:right w:val="single" w:sz="8" w:color="auto"/>
            </w:tcBorders>
            <w:gridSpan w:val="2"/>
          </w:tcPr>
          <w:p>
            <w:pPr>
              <w:jc w:val="center"/>
              <w:ind w:right="346"/>
              <w:spacing w:after="0" w:line="175" w:lineRule="exact"/>
              <w:rPr>
                <w:sz w:val="20"/>
                <w:szCs w:val="20"/>
                <w:color w:val="auto"/>
              </w:rPr>
            </w:pPr>
            <w:r>
              <w:rPr>
                <w:rFonts w:ascii="Times New Roman" w:cs="Times New Roman" w:eastAsia="Times New Roman" w:hAnsi="Times New Roman"/>
                <w:sz w:val="11"/>
                <w:szCs w:val="11"/>
                <w:color w:val="auto"/>
              </w:rPr>
              <w:t>1 (1.0%)</w:t>
            </w:r>
            <w:r>
              <w:rPr>
                <w:rFonts w:ascii="Times New Roman" w:cs="Times New Roman" w:eastAsia="Times New Roman" w:hAnsi="Times New Roman"/>
                <w:sz w:val="16"/>
                <w:szCs w:val="16"/>
                <w:color w:val="auto"/>
                <w:vertAlign w:val="superscript"/>
              </w:rPr>
              <w:t>4</w:t>
            </w: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All AEs leading to discontinuation</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(6.2%)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(5.1%)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(19.2%)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(19.6%)</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Drug-related AEs leading to discontinuation</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(4.1%)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(16.2%)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Gastrointestinal AEs—mainly mild to moderate</w:t>
            </w:r>
          </w:p>
        </w:tc>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Nausea</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(11.3%)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(25.5%)</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(59.6%)</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(51.5%)</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Vomiting</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(3.1%)</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(6.1%)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(27.3%)</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(27.8%)</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Diarrhea</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(5.2%)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(8.2%)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(10.1%)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Constipation</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(8.2%)</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(17.3%)</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(13.1%)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(22.7%)</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Major Adverse Cardiac Events (MACE)</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(0.0%)</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Cardiac AEs including arrhythmias</w:t>
            </w:r>
          </w:p>
        </w:tc>
        <w:tc>
          <w:tcPr>
            <w:tcW w:w="1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N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(4.1%)</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(3.1%)</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(4.0%)</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80" w:hanging="58"/>
        <w:spacing w:after="0" w:line="216" w:lineRule="auto"/>
        <w:tabs>
          <w:tab w:leader="none" w:pos="80"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Vomiting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222250</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151"/>
        </w:trPr>
        <w:tc>
          <w:tcPr>
            <w:tcW w:w="2420" w:type="dxa"/>
            <w:vAlign w:val="bottom"/>
            <w:tcBorders>
              <w:top w:val="single" w:sz="8" w:color="auto"/>
              <w:lef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Summary of Glycemic Control</w:t>
            </w:r>
          </w:p>
        </w:tc>
        <w:tc>
          <w:tcPr>
            <w:tcW w:w="1600" w:type="dxa"/>
            <w:vAlign w:val="bottom"/>
            <w:tcBorders>
              <w:top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Placebo</w:t>
            </w:r>
          </w:p>
        </w:tc>
        <w:tc>
          <w:tcPr>
            <w:tcW w:w="12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1.2 mg</w:t>
            </w:r>
          </w:p>
        </w:tc>
        <w:tc>
          <w:tcPr>
            <w:tcW w:w="126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1.8 mg</w:t>
            </w:r>
          </w:p>
        </w:tc>
        <w:tc>
          <w:tcPr>
            <w:tcW w:w="120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2.4 mg</w:t>
            </w:r>
          </w:p>
        </w:tc>
        <w:tc>
          <w:tcPr>
            <w:tcW w:w="0" w:type="dxa"/>
            <w:vAlign w:val="bottom"/>
          </w:tcPr>
          <w:p>
            <w:pPr>
              <w:spacing w:after="0"/>
              <w:rPr>
                <w:sz w:val="1"/>
                <w:szCs w:val="1"/>
                <w:color w:val="auto"/>
              </w:rPr>
            </w:pPr>
          </w:p>
        </w:tc>
      </w:tr>
      <w:tr>
        <w:trPr>
          <w:trHeight w:val="70"/>
        </w:trPr>
        <w:tc>
          <w:tcPr>
            <w:tcW w:w="2420" w:type="dxa"/>
            <w:vAlign w:val="bottom"/>
            <w:tcBorders>
              <w:left w:val="single" w:sz="8" w:color="auto"/>
            </w:tcBorders>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(N=68)</w:t>
            </w:r>
          </w:p>
        </w:tc>
        <w:tc>
          <w:tcPr>
            <w:tcW w:w="126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(N=58)</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(N=55)</w:t>
            </w:r>
          </w:p>
        </w:tc>
        <w:tc>
          <w:tcPr>
            <w:tcW w:w="0" w:type="dxa"/>
            <w:vAlign w:val="bottom"/>
          </w:tcPr>
          <w:p>
            <w:pPr>
              <w:spacing w:after="0"/>
              <w:rPr>
                <w:sz w:val="1"/>
                <w:szCs w:val="1"/>
                <w:color w:val="auto"/>
              </w:rPr>
            </w:pPr>
          </w:p>
        </w:tc>
      </w:tr>
      <w:tr>
        <w:trPr>
          <w:trHeight w:val="88"/>
        </w:trPr>
        <w:tc>
          <w:tcPr>
            <w:tcW w:w="2420" w:type="dxa"/>
            <w:vAlign w:val="bottom"/>
            <w:tcBorders>
              <w:left w:val="single" w:sz="8" w:color="auto"/>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Fasting glucose</w:t>
            </w: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Baseline, mg/dL</w:t>
            </w:r>
          </w:p>
        </w:tc>
        <w:tc>
          <w:tcPr>
            <w:tcW w:w="16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mean (SE)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95.5 (1.5)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99.4 (1.4)</w:t>
            </w:r>
          </w:p>
        </w:tc>
        <w:tc>
          <w:tcPr>
            <w:tcW w:w="12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8"/>
              </w:rPr>
              <w:t>101.6 (1.4)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101.5 (1.6)</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Week 48, mg/dL</w:t>
            </w:r>
          </w:p>
        </w:tc>
        <w:tc>
          <w:tcPr>
            <w:tcW w:w="16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mean (SE)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95.2 (1.5)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98.6 (1.7)</w:t>
            </w:r>
          </w:p>
        </w:tc>
        <w:tc>
          <w:tcPr>
            <w:tcW w:w="12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8"/>
              </w:rPr>
              <w:t>100.6 (1.6)</w:t>
            </w:r>
          </w:p>
        </w:tc>
        <w:tc>
          <w:tcPr>
            <w:tcW w:w="12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7"/>
              </w:rPr>
              <w:t>99.4 (2.0)</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HbA1c</w:t>
            </w: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Baseline, %</w:t>
            </w:r>
          </w:p>
        </w:tc>
        <w:tc>
          <w:tcPr>
            <w:tcW w:w="16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mean (SE)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5.6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5.5 (0.0)</w:t>
            </w:r>
          </w:p>
        </w:tc>
        <w:tc>
          <w:tcPr>
            <w:tcW w:w="12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5.5 (0.1)</w:t>
            </w:r>
          </w:p>
        </w:tc>
        <w:tc>
          <w:tcPr>
            <w:tcW w:w="12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rPr>
              <w:t>5.6 (0.0)</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Week 48, %</w:t>
            </w:r>
          </w:p>
        </w:tc>
        <w:tc>
          <w:tcPr>
            <w:tcW w:w="16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mean (SE)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5.5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5.5 (0.0)</w:t>
            </w:r>
          </w:p>
        </w:tc>
        <w:tc>
          <w:tcPr>
            <w:tcW w:w="12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5"/>
              </w:rPr>
              <w:t>5.6 (0.1)</w:t>
            </w:r>
          </w:p>
        </w:tc>
        <w:tc>
          <w:tcPr>
            <w:tcW w:w="120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rPr>
              <w:t>5.5 (0.1)</w:t>
            </w:r>
          </w:p>
        </w:tc>
        <w:tc>
          <w:tcPr>
            <w:tcW w:w="0" w:type="dxa"/>
            <w:vAlign w:val="bottom"/>
          </w:tcPr>
          <w:p>
            <w:pPr>
              <w:spacing w:after="0"/>
              <w:rPr>
                <w:sz w:val="1"/>
                <w:szCs w:val="1"/>
                <w:color w:val="auto"/>
              </w:rPr>
            </w:pPr>
          </w:p>
        </w:tc>
      </w:tr>
      <w:tr>
        <w:trPr>
          <w:trHeight w:val="31"/>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 Exhibits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8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5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240" w:type="dxa"/>
            <w:vAlign w:val="bottom"/>
          </w:tcPr>
          <w:p>
            <w:pPr>
              <w:spacing w:after="0"/>
              <w:rPr>
                <w:sz w:val="21"/>
                <w:szCs w:val="21"/>
                <w:color w:val="auto"/>
              </w:rPr>
            </w:pPr>
          </w:p>
        </w:tc>
        <w:tc>
          <w:tcPr>
            <w:tcW w:w="80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Press Release of Altimmune, Inc. dated November 30, 2023</w:t>
            </w: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05"/>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240" w:type="dxa"/>
            <w:vAlign w:val="bottom"/>
          </w:tcPr>
          <w:p>
            <w:pPr>
              <w:spacing w:after="0"/>
              <w:rPr>
                <w:sz w:val="17"/>
                <w:szCs w:val="17"/>
                <w:color w:val="auto"/>
              </w:rPr>
            </w:pPr>
          </w:p>
        </w:tc>
        <w:tc>
          <w:tcPr>
            <w:tcW w:w="3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Slide Presentation of Altimmune, Inc. dated November 30, 2023</w:t>
            </w:r>
          </w:p>
        </w:tc>
        <w:tc>
          <w:tcPr>
            <w:tcW w:w="4940" w:type="dxa"/>
            <w:vAlign w:val="bottom"/>
          </w:tcPr>
          <w:p>
            <w:pPr>
              <w:spacing w:after="0"/>
              <w:rPr>
                <w:sz w:val="17"/>
                <w:szCs w:val="17"/>
                <w:color w:val="auto"/>
              </w:rPr>
            </w:pPr>
          </w:p>
        </w:tc>
      </w:tr>
      <w:tr>
        <w:trPr>
          <w:trHeight w:val="232"/>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40" w:type="dxa"/>
            <w:vAlign w:val="bottom"/>
          </w:tcPr>
          <w:p>
            <w:pPr>
              <w:spacing w:after="0"/>
              <w:rPr>
                <w:sz w:val="20"/>
                <w:szCs w:val="20"/>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547"/>
        </w:trPr>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9" w:right="1440" w:bottom="1440" w:gutter="0" w:footer="0" w:header="0"/>
        </w:sectPr>
      </w:pPr>
    </w:p>
    <w:bookmarkStart w:id="4" w:name="page5"/>
    <w:bookmarkEnd w:id="4"/>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9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ALTIMMUNE, INC.</w:t>
      </w:r>
    </w:p>
    <w:p>
      <w:pPr>
        <w:spacing w:after="0" w:line="154" w:lineRule="exact"/>
        <w:rPr>
          <w:sz w:val="20"/>
          <w:szCs w:val="20"/>
          <w:color w:val="auto"/>
        </w:rPr>
      </w:pPr>
    </w:p>
    <w:tbl>
      <w:tblPr>
        <w:tblLayout w:type="fixed"/>
        <w:tblInd w:w="4480" w:type="dxa"/>
        <w:tblCellMar>
          <w:top w:w="0" w:type="dxa"/>
          <w:left w:w="0" w:type="dxa"/>
          <w:bottom w:w="0" w:type="dxa"/>
          <w:right w:w="0" w:type="dxa"/>
        </w:tblCellMar>
      </w:tblPr>
      <w:tr>
        <w:trPr>
          <w:trHeight w:val="155"/>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Eisenstadt</w:t>
            </w:r>
          </w:p>
        </w:tc>
      </w:tr>
      <w:tr>
        <w:trPr>
          <w:trHeight w:val="144"/>
        </w:trPr>
        <w:tc>
          <w:tcPr>
            <w:tcW w:w="600" w:type="dxa"/>
            <w:vAlign w:val="bottom"/>
          </w:tcPr>
          <w:p>
            <w:pPr>
              <w:spacing w:after="0"/>
              <w:rPr>
                <w:sz w:val="12"/>
                <w:szCs w:val="1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Name: Richard Eisenstadt</w:t>
            </w:r>
          </w:p>
        </w:tc>
      </w:tr>
      <w:tr>
        <w:trPr>
          <w:trHeight w:val="160"/>
        </w:trPr>
        <w:tc>
          <w:tcPr>
            <w:tcW w:w="60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Title: Chief Financial Officer</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Dated: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336550</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8160"/>
        <w:spacing w:after="0"/>
        <w:rPr>
          <w:sz w:val="20"/>
          <w:szCs w:val="20"/>
          <w:color w:val="auto"/>
        </w:rPr>
      </w:pPr>
      <w:r>
        <w:rPr>
          <w:rFonts w:ascii="Calibri" w:cs="Calibri" w:eastAsia="Calibri" w:hAnsi="Calibri"/>
          <w:sz w:val="13"/>
          <w:szCs w:val="13"/>
          <w:b w:val="1"/>
          <w:bCs w:val="1"/>
          <w:color w:val="auto"/>
        </w:rPr>
        <w:drawing>
          <wp:anchor simplePos="0" relativeHeight="251657728" behindDoc="1" locked="0" layoutInCell="0" allowOverlap="1">
            <wp:simplePos x="0" y="0"/>
            <wp:positionH relativeFrom="page">
              <wp:posOffset>1031240</wp:posOffset>
            </wp:positionH>
            <wp:positionV relativeFrom="page">
              <wp:posOffset>88900</wp:posOffset>
            </wp:positionV>
            <wp:extent cx="840105" cy="605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40105" cy="605790"/>
                    </a:xfrm>
                    <a:prstGeom prst="rect">
                      <a:avLst/>
                    </a:prstGeom>
                    <a:noFill/>
                  </pic:spPr>
                </pic:pic>
              </a:graphicData>
            </a:graphic>
          </wp:anchor>
        </w:drawing>
        <w:t>Exhibit 99.1</w:t>
      </w:r>
    </w:p>
    <w:p>
      <w:pPr>
        <w:spacing w:after="0" w:line="5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auto"/>
        </w:rPr>
        <w:t>Altmmune Announces Positve Topline Results from MOMENTUM 48-Week Phase 2 Obesity Trial of Pemvidutde</w:t>
      </w:r>
    </w:p>
    <w:p>
      <w:pPr>
        <w:spacing w:after="0" w:line="209" w:lineRule="exact"/>
        <w:rPr>
          <w:sz w:val="20"/>
          <w:szCs w:val="20"/>
          <w:color w:val="auto"/>
        </w:rPr>
      </w:pPr>
    </w:p>
    <w:p>
      <w:pPr>
        <w:ind w:left="400" w:hanging="219"/>
        <w:spacing w:after="0"/>
        <w:tabs>
          <w:tab w:leader="none" w:pos="400" w:val="left"/>
        </w:tabs>
        <w:numPr>
          <w:ilvl w:val="0"/>
          <w:numId w:val="4"/>
        </w:numPr>
        <w:rPr>
          <w:rFonts w:ascii="Times New Roman" w:cs="Times New Roman" w:eastAsia="Times New Roman" w:hAnsi="Times New Roman"/>
          <w:sz w:val="14"/>
          <w:szCs w:val="14"/>
          <w:color w:val="auto"/>
        </w:rPr>
      </w:pPr>
      <w:r>
        <w:rPr>
          <w:rFonts w:ascii="Calibri" w:cs="Calibri" w:eastAsia="Calibri" w:hAnsi="Calibri"/>
          <w:sz w:val="14"/>
          <w:szCs w:val="14"/>
          <w:i w:val="1"/>
          <w:iCs w:val="1"/>
          <w:color w:val="auto"/>
        </w:rPr>
        <w:t>Achieved mean weight loss of 15.6% on 2.4 mg dose of pemvidutde at Week 48, with weight loss contnuing at the end of treatment</w:t>
      </w:r>
    </w:p>
    <w:p>
      <w:pPr>
        <w:spacing w:after="0" w:line="79" w:lineRule="exact"/>
        <w:rPr>
          <w:rFonts w:ascii="Times New Roman" w:cs="Times New Roman" w:eastAsia="Times New Roman" w:hAnsi="Times New Roman"/>
          <w:sz w:val="14"/>
          <w:szCs w:val="14"/>
          <w:color w:val="auto"/>
        </w:rPr>
      </w:pPr>
    </w:p>
    <w:p>
      <w:pPr>
        <w:ind w:left="400" w:hanging="219"/>
        <w:spacing w:after="0"/>
        <w:tabs>
          <w:tab w:leader="none" w:pos="400" w:val="left"/>
        </w:tabs>
        <w:numPr>
          <w:ilvl w:val="0"/>
          <w:numId w:val="4"/>
        </w:numPr>
        <w:rPr>
          <w:rFonts w:ascii="Times New Roman" w:cs="Times New Roman" w:eastAsia="Times New Roman" w:hAnsi="Times New Roman"/>
          <w:sz w:val="16"/>
          <w:szCs w:val="16"/>
          <w:color w:val="auto"/>
        </w:rPr>
      </w:pPr>
      <w:r>
        <w:rPr>
          <w:rFonts w:ascii="Calibri" w:cs="Calibri" w:eastAsia="Calibri" w:hAnsi="Calibri"/>
          <w:sz w:val="16"/>
          <w:szCs w:val="16"/>
          <w:i w:val="1"/>
          <w:iCs w:val="1"/>
          <w:color w:val="auto"/>
        </w:rPr>
        <w:t>Over 30% of subjects achieved 20% or more weight loss on 2.4 mg dose at 48 weeks</w:t>
      </w:r>
    </w:p>
    <w:p>
      <w:pPr>
        <w:spacing w:after="0" w:line="76" w:lineRule="exact"/>
        <w:rPr>
          <w:rFonts w:ascii="Times New Roman" w:cs="Times New Roman" w:eastAsia="Times New Roman" w:hAnsi="Times New Roman"/>
          <w:sz w:val="16"/>
          <w:szCs w:val="16"/>
          <w:color w:val="auto"/>
        </w:rPr>
      </w:pPr>
    </w:p>
    <w:p>
      <w:pPr>
        <w:ind w:left="400" w:right="439" w:hanging="219"/>
        <w:spacing w:after="0" w:line="224" w:lineRule="auto"/>
        <w:tabs>
          <w:tab w:leader="none" w:pos="400" w:val="left"/>
        </w:tabs>
        <w:numPr>
          <w:ilvl w:val="0"/>
          <w:numId w:val="4"/>
        </w:numPr>
        <w:rPr>
          <w:rFonts w:ascii="Times New Roman" w:cs="Times New Roman" w:eastAsia="Times New Roman" w:hAnsi="Times New Roman"/>
          <w:sz w:val="16"/>
          <w:szCs w:val="16"/>
          <w:color w:val="auto"/>
        </w:rPr>
      </w:pPr>
      <w:r>
        <w:rPr>
          <w:rFonts w:ascii="Calibri" w:cs="Calibri" w:eastAsia="Calibri" w:hAnsi="Calibri"/>
          <w:sz w:val="16"/>
          <w:szCs w:val="16"/>
          <w:i w:val="1"/>
          <w:iCs w:val="1"/>
          <w:color w:val="auto"/>
        </w:rPr>
        <w:t>Robust reductons in BMI and serum lipids and improvements in blood pressure without imbalances in cardiac events, arrhythmias or clinically meaningful increases in heart rate</w:t>
      </w:r>
    </w:p>
    <w:p>
      <w:pPr>
        <w:spacing w:after="0" w:line="66"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Altmmune to host conference call tomorrow at 8:30 am EST</w:t>
      </w:r>
    </w:p>
    <w:p>
      <w:pPr>
        <w:spacing w:after="0" w:line="170" w:lineRule="exact"/>
        <w:rPr>
          <w:sz w:val="20"/>
          <w:szCs w:val="20"/>
          <w:color w:val="auto"/>
        </w:rPr>
      </w:pPr>
    </w:p>
    <w:p>
      <w:pPr>
        <w:jc w:val="both"/>
        <w:ind w:left="180" w:right="199"/>
        <w:spacing w:after="0" w:line="234" w:lineRule="auto"/>
        <w:rPr>
          <w:sz w:val="20"/>
          <w:szCs w:val="20"/>
          <w:color w:val="auto"/>
        </w:rPr>
      </w:pPr>
      <w:r>
        <w:rPr>
          <w:rFonts w:ascii="Calibri" w:cs="Calibri" w:eastAsia="Calibri" w:hAnsi="Calibri"/>
          <w:sz w:val="13"/>
          <w:szCs w:val="13"/>
          <w:b w:val="1"/>
          <w:bCs w:val="1"/>
          <w:color w:val="auto"/>
        </w:rPr>
        <w:t xml:space="preserve">GAITHERSBURG, MD, – November 30, 2023 – </w:t>
      </w:r>
      <w:r>
        <w:rPr>
          <w:rFonts w:ascii="Calibri" w:cs="Calibri" w:eastAsia="Calibri" w:hAnsi="Calibri"/>
          <w:sz w:val="13"/>
          <w:szCs w:val="13"/>
          <w:color w:val="auto"/>
        </w:rPr>
        <w:t>Altmmune, Inc. (Nasdaq: ALT), a clinical-stage biopharmaceutcal company (the “Company”), today announced</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topline results from its 48-week MOMENTUM Phase 2 obesity trial of pemvidutde. The trial enrolled 391 subjects with obesity or overweight with at least one co-morbidity and without diabetes. Subjects were randomized 1:1:1:1 to 1.2 mg, 1.8 mg, 2.4 mg pemvidutde or placebo administered weekly for 48 weeks in conjuncton with diet and exercise. The 1.2 mg and 1.8 mg doses were administered without dose ttraton, while a short 4-week ttraton period was employed for the 2.4 mg dose. At baseline, subjects had a mean age of approximately 50 years, mean body mass index (BMI) of approximately 37 kg/m</w:t>
      </w:r>
      <w:r>
        <w:rPr>
          <w:rFonts w:ascii="Calibri" w:cs="Calibri" w:eastAsia="Calibri" w:hAnsi="Calibri"/>
          <w:sz w:val="19"/>
          <w:szCs w:val="19"/>
          <w:color w:val="auto"/>
          <w:vertAlign w:val="superscript"/>
        </w:rPr>
        <w:t>2</w:t>
      </w:r>
      <w:r>
        <w:rPr>
          <w:rFonts w:ascii="Calibri" w:cs="Calibri" w:eastAsia="Calibri" w:hAnsi="Calibri"/>
          <w:sz w:val="13"/>
          <w:szCs w:val="13"/>
          <w:color w:val="auto"/>
        </w:rPr>
        <w:t xml:space="preserve"> and mean body weight of approximately 104 kg. Approximately 75% of subjects were female.</w:t>
      </w:r>
    </w:p>
    <w:p>
      <w:pPr>
        <w:spacing w:after="0" w:line="116" w:lineRule="exact"/>
        <w:rPr>
          <w:sz w:val="20"/>
          <w:szCs w:val="20"/>
          <w:color w:val="auto"/>
        </w:rPr>
      </w:pPr>
    </w:p>
    <w:p>
      <w:pPr>
        <w:jc w:val="both"/>
        <w:ind w:left="180" w:right="199"/>
        <w:spacing w:after="0" w:line="254" w:lineRule="auto"/>
        <w:rPr>
          <w:sz w:val="20"/>
          <w:szCs w:val="20"/>
          <w:color w:val="auto"/>
        </w:rPr>
      </w:pPr>
      <w:r>
        <w:rPr>
          <w:rFonts w:ascii="Calibri" w:cs="Calibri" w:eastAsia="Calibri" w:hAnsi="Calibri"/>
          <w:sz w:val="13"/>
          <w:szCs w:val="13"/>
          <w:color w:val="auto"/>
        </w:rPr>
        <w:t>At Week 48, subjects receiving pemvidutde achieved mean weight losses of 10.3%, 11.2%, 15.6% and 2.2% at the 1.2 mg, 1.8 mg, and 2.4 mg doses and placebo, respectvely, with a near-linear trajectory of contnued weight loss observed on the 2.4 mg dose at the end of treatment. Over 50% of subjects achieved at least 15% weight loss and over 30% of subjects achieved at least 20% weight loss on the 2.4 mg dose. As in prior clinical trials, pemvidutde resulted in robust reductons in serum lipids and improvements in blood pressure without imbalances in cardiac events, arrhythmias or clinically meaningful increases in heart rate. Glucose homeostasis was maintained, with no signifcant changes in fastng glucose or HbA1c.</w:t>
      </w:r>
    </w:p>
    <w:p>
      <w:pPr>
        <w:spacing w:after="0" w:line="96" w:lineRule="exact"/>
        <w:rPr>
          <w:sz w:val="20"/>
          <w:szCs w:val="20"/>
          <w:color w:val="auto"/>
        </w:rPr>
      </w:pPr>
    </w:p>
    <w:p>
      <w:pPr>
        <w:jc w:val="both"/>
        <w:ind w:left="180" w:right="199"/>
        <w:spacing w:after="0" w:line="255" w:lineRule="auto"/>
        <w:rPr>
          <w:sz w:val="20"/>
          <w:szCs w:val="20"/>
          <w:color w:val="auto"/>
        </w:rPr>
      </w:pPr>
      <w:r>
        <w:rPr>
          <w:rFonts w:ascii="Calibri" w:cs="Calibri" w:eastAsia="Calibri" w:hAnsi="Calibri"/>
          <w:sz w:val="13"/>
          <w:szCs w:val="13"/>
          <w:color w:val="auto"/>
        </w:rPr>
        <w:t>More subjects receiving pemvidutde stayed on study compared to those receiving placebo, with 74.1% of pemvidutde subjects completng the trial compared to 61.9% of placebo subjects. Nausea and vomitng comprised the majority of adverse events (AEs) and were predominantly mild to moderate in severity. Only one (1.0%) subject experienced a drug-related serious adverse event (SAE), a case of vomitng at the 2.4 mg dose. Rates of AEs leading to treatment discontnuaton were 6.2% in subjects receiving placebo and 5.1%, 19.2%, and 19.6% in subjects receiving 1.2 mg, 1.8 mg and 2.4 mg of pemvidutde, respectvely. Study discontnuatons related to study drug occurred in 2.1% of placebo subjects and 4.1%, 16.2% and 15.5% in subjects receiving 1.2 mg, 1.8 mg and 2.4 mg of pemvidutde, respectvely, with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242570</wp:posOffset>
            </wp:positionV>
            <wp:extent cx="548640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075" w:right="1440" w:bottom="1440" w:gutter="0" w:footer="0" w:header="0"/>
        </w:sectPr>
      </w:pPr>
    </w:p>
    <w:bookmarkStart w:id="6" w:name="page7"/>
    <w:bookmarkEnd w:id="6"/>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840105" cy="605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40105" cy="605790"/>
                    </a:xfrm>
                    <a:prstGeom prst="rect">
                      <a:avLst/>
                    </a:prstGeom>
                    <a:noFill/>
                  </pic:spPr>
                </pic:pic>
              </a:graphicData>
            </a:graphic>
          </wp:anchor>
        </w:drawing>
      </w:r>
    </w:p>
    <w:p>
      <w:pPr>
        <w:jc w:val="both"/>
        <w:ind w:left="180" w:right="199"/>
        <w:spacing w:after="0" w:line="255" w:lineRule="auto"/>
        <w:rPr>
          <w:sz w:val="20"/>
          <w:szCs w:val="20"/>
          <w:color w:val="auto"/>
        </w:rPr>
      </w:pPr>
      <w:r>
        <w:rPr>
          <w:rFonts w:ascii="Calibri" w:cs="Calibri" w:eastAsia="Calibri" w:hAnsi="Calibri"/>
          <w:sz w:val="13"/>
          <w:szCs w:val="13"/>
          <w:color w:val="auto"/>
        </w:rPr>
        <w:t>discontnuatons due to AEs in the pemvidutde groups occurring in the frst 16 weeks of treatment. No AEs of special interest or major adverse cardiac events (MACE) were observed, and there were low rates of cardiac AEs, including arrhythmias, with no imbalance across pemvidutde or placebo groups.</w:t>
      </w:r>
    </w:p>
    <w:p>
      <w:pPr>
        <w:spacing w:after="0" w:line="104" w:lineRule="exact"/>
        <w:rPr>
          <w:sz w:val="20"/>
          <w:szCs w:val="20"/>
          <w:color w:val="auto"/>
        </w:rPr>
      </w:pPr>
    </w:p>
    <w:p>
      <w:pPr>
        <w:jc w:val="both"/>
        <w:ind w:left="180" w:right="199"/>
        <w:spacing w:after="0" w:line="253" w:lineRule="auto"/>
        <w:rPr>
          <w:sz w:val="20"/>
          <w:szCs w:val="20"/>
          <w:color w:val="auto"/>
        </w:rPr>
      </w:pPr>
      <w:r>
        <w:rPr>
          <w:rFonts w:ascii="Calibri" w:cs="Calibri" w:eastAsia="Calibri" w:hAnsi="Calibri"/>
          <w:sz w:val="13"/>
          <w:szCs w:val="13"/>
          <w:color w:val="auto"/>
        </w:rPr>
        <w:t>“The level of weight loss achieved at 48 weeks in this trial has been shown to reverse the key complicatons of obesity. Moreover, the trajectory of weight loss at the end of treatment with the 2.4 mg dose suggests the potental for greater weight loss with contnued treatment,” said Dr. Scot Harris, Chief Medical Ofcer of Altmmune. Dr. Harris added, “It is also important to recognize the safety profle of pemvidutde observed to date, especially cardiac-related safety, considering that many obesity patents are at risk for cardiovascular events such as arrhythmias and major adverse cardiac events.”</w:t>
      </w:r>
    </w:p>
    <w:p>
      <w:pPr>
        <w:spacing w:after="0" w:line="96" w:lineRule="exact"/>
        <w:rPr>
          <w:sz w:val="20"/>
          <w:szCs w:val="20"/>
          <w:color w:val="auto"/>
        </w:rPr>
      </w:pPr>
    </w:p>
    <w:p>
      <w:pPr>
        <w:jc w:val="both"/>
        <w:ind w:left="180" w:right="199"/>
        <w:spacing w:after="0" w:line="256" w:lineRule="auto"/>
        <w:rPr>
          <w:sz w:val="20"/>
          <w:szCs w:val="20"/>
          <w:color w:val="auto"/>
        </w:rPr>
      </w:pPr>
      <w:r>
        <w:rPr>
          <w:rFonts w:ascii="Calibri" w:cs="Calibri" w:eastAsia="Calibri" w:hAnsi="Calibri"/>
          <w:sz w:val="13"/>
          <w:szCs w:val="13"/>
          <w:color w:val="auto"/>
        </w:rPr>
        <w:t>“This is an important day for Altmmune and we couldn’t be more pleased with these results,” said Vipin K. Garg, Ph.D., President and Chief Executve Ofcer of Altmmune. “To put these results in context, the 15.6% mean weight loss observed with the 2.4 mg dose was associated with a mean weight loss of 32.2 lbs at 48 weeks. The impact of this level of weight loss on patents can be signifcant. For example, 48% of subjects on the 2.4 mg dose with baseline obesity no longer had obesity at the end of the 48-week trial.” Dr. Garg contnued, “We believe the magnitude of weight loss, robust reductons in triglycerides, LDL cholesterol and blood pressure, together with the safety profle observed in this trial, could potentally diferentate pemvidutde from the other incretn-based therapies. If approved, we believe pemvidutde could ofer an important opton for obesity patents, including those with risk factors for cardiovascular disease.”</w:t>
      </w:r>
    </w:p>
    <w:p>
      <w:pPr>
        <w:spacing w:after="0" w:line="261"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Summary of Efcacy Findings</w:t>
      </w:r>
    </w:p>
    <w:p>
      <w:pPr>
        <w:spacing w:after="0" w:line="83" w:lineRule="exact"/>
        <w:rPr>
          <w:sz w:val="20"/>
          <w:szCs w:val="20"/>
          <w:color w:val="auto"/>
        </w:rPr>
      </w:pPr>
    </w:p>
    <w:tbl>
      <w:tblPr>
        <w:tblLayout w:type="fixed"/>
        <w:tblInd w:w="190" w:type="dxa"/>
        <w:tblCellMar>
          <w:top w:w="0" w:type="dxa"/>
          <w:left w:w="0" w:type="dxa"/>
          <w:bottom w:w="0" w:type="dxa"/>
          <w:right w:w="0" w:type="dxa"/>
        </w:tblCellMar>
      </w:tblPr>
      <w:tr>
        <w:trPr>
          <w:trHeight w:val="143"/>
        </w:trPr>
        <w:tc>
          <w:tcPr>
            <w:tcW w:w="2700" w:type="dxa"/>
            <w:vAlign w:val="bottom"/>
            <w:tcBorders>
              <w:top w:val="single" w:sz="8" w:color="auto"/>
              <w:left w:val="single" w:sz="8" w:color="auto"/>
            </w:tcBorders>
            <w:vMerge w:val="restart"/>
          </w:tcPr>
          <w:p>
            <w:pPr>
              <w:ind w:left="60"/>
              <w:spacing w:after="0"/>
              <w:rPr>
                <w:sz w:val="20"/>
                <w:szCs w:val="20"/>
                <w:color w:val="auto"/>
              </w:rPr>
            </w:pPr>
            <w:r>
              <w:rPr>
                <w:rFonts w:ascii="Calibri" w:cs="Calibri" w:eastAsia="Calibri" w:hAnsi="Calibri"/>
                <w:sz w:val="11"/>
                <w:szCs w:val="11"/>
                <w:b w:val="1"/>
                <w:bCs w:val="1"/>
                <w:color w:val="auto"/>
              </w:rPr>
              <w:t>Primary Endpoint: Body weight</w:t>
            </w:r>
          </w:p>
        </w:tc>
        <w:tc>
          <w:tcPr>
            <w:tcW w:w="11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ind w:left="400"/>
              <w:spacing w:after="0"/>
              <w:rPr>
                <w:sz w:val="20"/>
                <w:szCs w:val="20"/>
                <w:color w:val="auto"/>
              </w:rPr>
            </w:pPr>
            <w:r>
              <w:rPr>
                <w:rFonts w:ascii="Calibri" w:cs="Calibri" w:eastAsia="Calibri" w:hAnsi="Calibri"/>
                <w:sz w:val="11"/>
                <w:szCs w:val="11"/>
                <w:b w:val="1"/>
                <w:bCs w:val="1"/>
                <w:color w:val="auto"/>
              </w:rPr>
              <w:t>Placebo</w:t>
            </w:r>
          </w:p>
        </w:tc>
        <w:tc>
          <w:tcPr>
            <w:tcW w:w="120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1.2 mg</w:t>
            </w:r>
          </w:p>
        </w:tc>
        <w:tc>
          <w:tcPr>
            <w:tcW w:w="120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1.8 mg</w:t>
            </w:r>
          </w:p>
        </w:tc>
        <w:tc>
          <w:tcPr>
            <w:tcW w:w="1200" w:type="dxa"/>
            <w:vAlign w:val="bottom"/>
            <w:tcBorders>
              <w:top w:val="single" w:sz="8" w:color="auto"/>
              <w:right w:val="single" w:sz="8" w:color="auto"/>
            </w:tcBorders>
          </w:tcPr>
          <w:p>
            <w:pPr>
              <w:ind w:left="440"/>
              <w:spacing w:after="0"/>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(N=97)</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(N=98)</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(N=99)</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(N=97)</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7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700" w:type="dxa"/>
            <w:vAlign w:val="bottom"/>
            <w:tcBorders>
              <w:left w:val="single" w:sz="8" w:color="auto"/>
              <w:bottom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Body weight, all subjects</w:t>
            </w:r>
          </w:p>
        </w:tc>
        <w:tc>
          <w:tcPr>
            <w:tcW w:w="1160" w:type="dxa"/>
            <w:vAlign w:val="bottom"/>
            <w:tcBorders>
              <w:bottom w:val="single" w:sz="8" w:color="auto"/>
              <w:right w:val="single" w:sz="8" w:color="auto"/>
            </w:tcBorders>
          </w:tcPr>
          <w:p>
            <w:pPr>
              <w:jc w:val="center"/>
              <w:spacing w:after="0" w:line="187" w:lineRule="exact"/>
              <w:rPr>
                <w:sz w:val="20"/>
                <w:szCs w:val="20"/>
                <w:color w:val="auto"/>
              </w:rPr>
            </w:pPr>
            <w:r>
              <w:rPr>
                <w:rFonts w:ascii="Calibri" w:cs="Calibri" w:eastAsia="Calibri" w:hAnsi="Calibri"/>
                <w:sz w:val="11"/>
                <w:szCs w:val="11"/>
                <w:color w:val="auto"/>
                <w:w w:val="97"/>
              </w:rPr>
              <w:t>%, LSM (SE)</w:t>
            </w:r>
            <w:r>
              <w:rPr>
                <w:rFonts w:ascii="Calibri" w:cs="Calibri" w:eastAsia="Calibri" w:hAnsi="Calibri"/>
                <w:sz w:val="16"/>
                <w:szCs w:val="16"/>
                <w:color w:val="auto"/>
                <w:w w:val="97"/>
                <w:vertAlign w:val="superscript"/>
              </w:rPr>
              <w:t>1</w:t>
            </w:r>
          </w:p>
        </w:tc>
        <w:tc>
          <w:tcPr>
            <w:tcW w:w="120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8"/>
              </w:rPr>
              <w:t>-2.2 (1.4)</w:t>
            </w:r>
          </w:p>
        </w:tc>
        <w:tc>
          <w:tcPr>
            <w:tcW w:w="1200" w:type="dxa"/>
            <w:vAlign w:val="bottom"/>
            <w:tcBorders>
              <w:bottom w:val="single" w:sz="8" w:color="auto"/>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9"/>
              </w:rPr>
              <w:t>-10.3 (1.4)***</w:t>
            </w:r>
          </w:p>
        </w:tc>
        <w:tc>
          <w:tcPr>
            <w:tcW w:w="1200" w:type="dxa"/>
            <w:vAlign w:val="bottom"/>
            <w:tcBorders>
              <w:bottom w:val="single" w:sz="8" w:color="auto"/>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9"/>
              </w:rPr>
              <w:t>-11.2 (1.4)***</w:t>
            </w:r>
          </w:p>
        </w:tc>
        <w:tc>
          <w:tcPr>
            <w:tcW w:w="1200" w:type="dxa"/>
            <w:vAlign w:val="bottom"/>
            <w:tcBorders>
              <w:bottom w:val="single" w:sz="8" w:color="auto"/>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6"/>
              </w:rPr>
              <w:t>-15.6 (1.4)***</w:t>
            </w:r>
          </w:p>
        </w:tc>
        <w:tc>
          <w:tcPr>
            <w:tcW w:w="0" w:type="dxa"/>
            <w:vAlign w:val="bottom"/>
          </w:tcPr>
          <w:p>
            <w:pPr>
              <w:spacing w:after="0"/>
              <w:rPr>
                <w:sz w:val="1"/>
                <w:szCs w:val="1"/>
                <w:color w:val="auto"/>
              </w:rPr>
            </w:pPr>
          </w:p>
        </w:tc>
      </w:tr>
      <w:tr>
        <w:trPr>
          <w:trHeight w:val="70"/>
        </w:trPr>
        <w:tc>
          <w:tcPr>
            <w:tcW w:w="2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700" w:type="dxa"/>
            <w:vAlign w:val="bottom"/>
            <w:tcBorders>
              <w:left w:val="single" w:sz="8" w:color="auto"/>
            </w:tcBorders>
            <w:vMerge w:val="restart"/>
          </w:tcPr>
          <w:p>
            <w:pPr>
              <w:ind w:left="60"/>
              <w:spacing w:after="0"/>
              <w:rPr>
                <w:sz w:val="20"/>
                <w:szCs w:val="20"/>
                <w:color w:val="auto"/>
              </w:rPr>
            </w:pPr>
            <w:r>
              <w:rPr>
                <w:rFonts w:ascii="Calibri" w:cs="Calibri" w:eastAsia="Calibri" w:hAnsi="Calibri"/>
                <w:sz w:val="11"/>
                <w:szCs w:val="11"/>
                <w:b w:val="1"/>
                <w:bCs w:val="1"/>
                <w:color w:val="auto"/>
              </w:rPr>
              <w:t>Responder Analyses</w:t>
            </w:r>
          </w:p>
        </w:tc>
        <w:tc>
          <w:tcPr>
            <w:tcW w:w="11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ind w:left="400"/>
              <w:spacing w:after="0" w:line="123" w:lineRule="exact"/>
              <w:rPr>
                <w:sz w:val="20"/>
                <w:szCs w:val="20"/>
                <w:color w:val="auto"/>
              </w:rPr>
            </w:pPr>
            <w:r>
              <w:rPr>
                <w:rFonts w:ascii="Calibri" w:cs="Calibri" w:eastAsia="Calibri" w:hAnsi="Calibri"/>
                <w:sz w:val="11"/>
                <w:szCs w:val="11"/>
                <w:b w:val="1"/>
                <w:bCs w:val="1"/>
                <w:color w:val="auto"/>
              </w:rPr>
              <w:t>Placebo</w:t>
            </w:r>
          </w:p>
        </w:tc>
        <w:tc>
          <w:tcPr>
            <w:tcW w:w="1200" w:type="dxa"/>
            <w:vAlign w:val="bottom"/>
            <w:tcBorders>
              <w:right w:val="single" w:sz="8" w:color="auto"/>
            </w:tcBorders>
          </w:tcPr>
          <w:p>
            <w:pPr>
              <w:ind w:left="420"/>
              <w:spacing w:after="0" w:line="123" w:lineRule="exact"/>
              <w:rPr>
                <w:sz w:val="20"/>
                <w:szCs w:val="20"/>
                <w:color w:val="auto"/>
              </w:rPr>
            </w:pPr>
            <w:r>
              <w:rPr>
                <w:rFonts w:ascii="Calibri" w:cs="Calibri" w:eastAsia="Calibri" w:hAnsi="Calibri"/>
                <w:sz w:val="11"/>
                <w:szCs w:val="11"/>
                <w:b w:val="1"/>
                <w:bCs w:val="1"/>
                <w:color w:val="auto"/>
              </w:rPr>
              <w:t>1.2 mg</w:t>
            </w:r>
          </w:p>
        </w:tc>
        <w:tc>
          <w:tcPr>
            <w:tcW w:w="1200" w:type="dxa"/>
            <w:vAlign w:val="bottom"/>
            <w:tcBorders>
              <w:right w:val="single" w:sz="8" w:color="auto"/>
            </w:tcBorders>
          </w:tcPr>
          <w:p>
            <w:pPr>
              <w:ind w:left="420"/>
              <w:spacing w:after="0" w:line="123" w:lineRule="exact"/>
              <w:rPr>
                <w:sz w:val="20"/>
                <w:szCs w:val="20"/>
                <w:color w:val="auto"/>
              </w:rPr>
            </w:pPr>
            <w:r>
              <w:rPr>
                <w:rFonts w:ascii="Calibri" w:cs="Calibri" w:eastAsia="Calibri" w:hAnsi="Calibri"/>
                <w:sz w:val="11"/>
                <w:szCs w:val="11"/>
                <w:b w:val="1"/>
                <w:bCs w:val="1"/>
                <w:color w:val="auto"/>
              </w:rPr>
              <w:t>1.8 mg</w:t>
            </w:r>
          </w:p>
        </w:tc>
        <w:tc>
          <w:tcPr>
            <w:tcW w:w="1200" w:type="dxa"/>
            <w:vAlign w:val="bottom"/>
            <w:tcBorders>
              <w:right w:val="single" w:sz="8" w:color="auto"/>
            </w:tcBorders>
          </w:tcPr>
          <w:p>
            <w:pPr>
              <w:ind w:left="440"/>
              <w:spacing w:after="0" w:line="123" w:lineRule="exact"/>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(N=51)</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(N=70)</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(N=63)</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(N=56)</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7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0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Subjects w/ ≥5% weight loss</w:t>
            </w:r>
          </w:p>
        </w:tc>
        <w:tc>
          <w:tcPr>
            <w:tcW w:w="11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17.6%</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68.6%****</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76.2%****</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83.9%****</w:t>
            </w: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0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Subjects w/ ≥10% weight loss</w:t>
            </w:r>
          </w:p>
        </w:tc>
        <w:tc>
          <w:tcPr>
            <w:tcW w:w="1160" w:type="dxa"/>
            <w:vAlign w:val="bottom"/>
            <w:tcBorders>
              <w:right w:val="single" w:sz="8" w:color="auto"/>
            </w:tcBorders>
            <w:vMerge w:val="restart"/>
          </w:tcPr>
          <w:p>
            <w:pPr>
              <w:jc w:val="center"/>
              <w:ind w:right="468"/>
              <w:spacing w:after="0"/>
              <w:rPr>
                <w:sz w:val="20"/>
                <w:szCs w:val="20"/>
                <w:color w:val="auto"/>
              </w:rPr>
            </w:pPr>
            <w:r>
              <w:rPr>
                <w:rFonts w:ascii="Calibri" w:cs="Calibri" w:eastAsia="Calibri" w:hAnsi="Calibri"/>
                <w:sz w:val="11"/>
                <w:szCs w:val="11"/>
                <w:color w:val="auto"/>
              </w:rPr>
              <w:t>%</w:t>
            </w:r>
            <w:r>
              <w:rPr>
                <w:rFonts w:ascii="Calibri" w:cs="Calibri" w:eastAsia="Calibri" w:hAnsi="Calibri"/>
                <w:sz w:val="16"/>
                <w:szCs w:val="16"/>
                <w:color w:val="auto"/>
                <w:vertAlign w:val="superscript"/>
              </w:rPr>
              <w:t>2</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rPr>
              <w:t>3.9%</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42.9%****</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49.2%****</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71.4%****</w:t>
            </w: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700" w:type="dxa"/>
            <w:vAlign w:val="bottom"/>
            <w:tcBorders>
              <w:left w:val="single" w:sz="8" w:color="auto"/>
              <w:right w:val="single" w:sz="8" w:color="auto"/>
            </w:tcBorders>
            <w:vMerge w:val="restart"/>
          </w:tcPr>
          <w:p>
            <w:pPr>
              <w:ind w:left="80"/>
              <w:spacing w:after="0" w:line="132" w:lineRule="exact"/>
              <w:rPr>
                <w:sz w:val="20"/>
                <w:szCs w:val="20"/>
                <w:color w:val="auto"/>
              </w:rPr>
            </w:pPr>
            <w:r>
              <w:rPr>
                <w:rFonts w:ascii="Calibri" w:cs="Calibri" w:eastAsia="Calibri" w:hAnsi="Calibri"/>
                <w:sz w:val="11"/>
                <w:szCs w:val="11"/>
                <w:color w:val="auto"/>
              </w:rPr>
              <w:t>% Subjects w/ ≥15% weight loss</w:t>
            </w:r>
          </w:p>
        </w:tc>
        <w:tc>
          <w:tcPr>
            <w:tcW w:w="116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ind w:right="6"/>
              <w:spacing w:after="0" w:line="132" w:lineRule="exact"/>
              <w:rPr>
                <w:sz w:val="20"/>
                <w:szCs w:val="20"/>
                <w:color w:val="auto"/>
              </w:rPr>
            </w:pPr>
            <w:r>
              <w:rPr>
                <w:rFonts w:ascii="Calibri" w:cs="Calibri" w:eastAsia="Calibri" w:hAnsi="Calibri"/>
                <w:sz w:val="11"/>
                <w:szCs w:val="11"/>
                <w:color w:val="auto"/>
              </w:rPr>
              <w:t>2.0%</w:t>
            </w:r>
          </w:p>
        </w:tc>
        <w:tc>
          <w:tcPr>
            <w:tcW w:w="1200" w:type="dxa"/>
            <w:vAlign w:val="bottom"/>
            <w:tcBorders>
              <w:right w:val="single" w:sz="8" w:color="auto"/>
            </w:tcBorders>
            <w:vMerge w:val="restart"/>
          </w:tcPr>
          <w:p>
            <w:pPr>
              <w:jc w:val="center"/>
              <w:ind w:right="6"/>
              <w:spacing w:after="0" w:line="132" w:lineRule="exact"/>
              <w:rPr>
                <w:sz w:val="20"/>
                <w:szCs w:val="20"/>
                <w:color w:val="auto"/>
              </w:rPr>
            </w:pPr>
            <w:r>
              <w:rPr>
                <w:rFonts w:ascii="Calibri" w:cs="Calibri" w:eastAsia="Calibri" w:hAnsi="Calibri"/>
                <w:sz w:val="11"/>
                <w:szCs w:val="11"/>
                <w:color w:val="auto"/>
                <w:w w:val="99"/>
              </w:rPr>
              <w:t>21.4%**</w:t>
            </w:r>
          </w:p>
        </w:tc>
        <w:tc>
          <w:tcPr>
            <w:tcW w:w="1200" w:type="dxa"/>
            <w:vAlign w:val="bottom"/>
            <w:tcBorders>
              <w:right w:val="single" w:sz="8" w:color="auto"/>
            </w:tcBorders>
            <w:vMerge w:val="restart"/>
          </w:tcPr>
          <w:p>
            <w:pPr>
              <w:jc w:val="center"/>
              <w:spacing w:after="0" w:line="132" w:lineRule="exact"/>
              <w:rPr>
                <w:sz w:val="20"/>
                <w:szCs w:val="20"/>
                <w:color w:val="auto"/>
              </w:rPr>
            </w:pPr>
            <w:r>
              <w:rPr>
                <w:rFonts w:ascii="Calibri" w:cs="Calibri" w:eastAsia="Calibri" w:hAnsi="Calibri"/>
                <w:sz w:val="11"/>
                <w:szCs w:val="11"/>
                <w:color w:val="auto"/>
              </w:rPr>
              <w:t>28.6%***</w:t>
            </w:r>
          </w:p>
        </w:tc>
        <w:tc>
          <w:tcPr>
            <w:tcW w:w="1200" w:type="dxa"/>
            <w:vAlign w:val="bottom"/>
            <w:tcBorders>
              <w:right w:val="single" w:sz="8" w:color="auto"/>
            </w:tcBorders>
            <w:vMerge w:val="restart"/>
          </w:tcPr>
          <w:p>
            <w:pPr>
              <w:jc w:val="center"/>
              <w:spacing w:after="0" w:line="132" w:lineRule="exact"/>
              <w:rPr>
                <w:sz w:val="20"/>
                <w:szCs w:val="20"/>
                <w:color w:val="auto"/>
              </w:rPr>
            </w:pPr>
            <w:r>
              <w:rPr>
                <w:rFonts w:ascii="Calibri" w:cs="Calibri" w:eastAsia="Calibri" w:hAnsi="Calibri"/>
                <w:sz w:val="11"/>
                <w:szCs w:val="11"/>
                <w:color w:val="auto"/>
                <w:w w:val="97"/>
              </w:rPr>
              <w:t>51.8%****</w:t>
            </w:r>
          </w:p>
        </w:tc>
        <w:tc>
          <w:tcPr>
            <w:tcW w:w="0" w:type="dxa"/>
            <w:vAlign w:val="bottom"/>
          </w:tcPr>
          <w:p>
            <w:pPr>
              <w:spacing w:after="0"/>
              <w:rPr>
                <w:sz w:val="1"/>
                <w:szCs w:val="1"/>
                <w:color w:val="auto"/>
              </w:rPr>
            </w:pPr>
          </w:p>
        </w:tc>
      </w:tr>
      <w:tr>
        <w:trPr>
          <w:trHeight w:val="41"/>
        </w:trPr>
        <w:tc>
          <w:tcPr>
            <w:tcW w:w="2700" w:type="dxa"/>
            <w:vAlign w:val="bottom"/>
            <w:tcBorders>
              <w:left w:val="single" w:sz="8" w:color="auto"/>
              <w:right w:val="single" w:sz="8" w:color="auto"/>
            </w:tcBorders>
            <w:vMerge w:val="continue"/>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0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Subjects w/ ≥20% weight loss</w:t>
            </w:r>
          </w:p>
        </w:tc>
        <w:tc>
          <w:tcPr>
            <w:tcW w:w="11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rPr>
              <w:t>2.0%</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4"/>
              </w:rPr>
              <w:t>10.0%</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rPr>
              <w:t>9.5%</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7"/>
              </w:rPr>
              <w:t>32.1%****</w:t>
            </w: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700" w:type="dxa"/>
            <w:vAlign w:val="bottom"/>
            <w:tcBorders>
              <w:left w:val="single" w:sz="8" w:color="auto"/>
            </w:tcBorders>
            <w:vMerge w:val="restart"/>
          </w:tcPr>
          <w:p>
            <w:pPr>
              <w:ind w:left="80"/>
              <w:spacing w:after="0"/>
              <w:rPr>
                <w:sz w:val="20"/>
                <w:szCs w:val="20"/>
                <w:color w:val="auto"/>
              </w:rPr>
            </w:pPr>
            <w:r>
              <w:rPr>
                <w:rFonts w:ascii="Calibri" w:cs="Calibri" w:eastAsia="Calibri" w:hAnsi="Calibri"/>
                <w:sz w:val="11"/>
                <w:szCs w:val="11"/>
                <w:b w:val="1"/>
                <w:bCs w:val="1"/>
                <w:color w:val="auto"/>
              </w:rPr>
              <w:t>Secondary Endpoints</w:t>
            </w:r>
          </w:p>
        </w:tc>
        <w:tc>
          <w:tcPr>
            <w:tcW w:w="11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ind w:left="400"/>
              <w:spacing w:after="0" w:line="116" w:lineRule="exact"/>
              <w:rPr>
                <w:sz w:val="20"/>
                <w:szCs w:val="20"/>
                <w:color w:val="auto"/>
              </w:rPr>
            </w:pPr>
            <w:r>
              <w:rPr>
                <w:rFonts w:ascii="Calibri" w:cs="Calibri" w:eastAsia="Calibri" w:hAnsi="Calibri"/>
                <w:sz w:val="11"/>
                <w:szCs w:val="11"/>
                <w:b w:val="1"/>
                <w:bCs w:val="1"/>
                <w:color w:val="auto"/>
              </w:rPr>
              <w:t>Placebo</w:t>
            </w:r>
          </w:p>
        </w:tc>
        <w:tc>
          <w:tcPr>
            <w:tcW w:w="1200" w:type="dxa"/>
            <w:vAlign w:val="bottom"/>
            <w:tcBorders>
              <w:right w:val="single" w:sz="8" w:color="auto"/>
            </w:tcBorders>
          </w:tcPr>
          <w:p>
            <w:pPr>
              <w:ind w:left="420"/>
              <w:spacing w:after="0" w:line="116" w:lineRule="exact"/>
              <w:rPr>
                <w:sz w:val="20"/>
                <w:szCs w:val="20"/>
                <w:color w:val="auto"/>
              </w:rPr>
            </w:pPr>
            <w:r>
              <w:rPr>
                <w:rFonts w:ascii="Calibri" w:cs="Calibri" w:eastAsia="Calibri" w:hAnsi="Calibri"/>
                <w:sz w:val="11"/>
                <w:szCs w:val="11"/>
                <w:b w:val="1"/>
                <w:bCs w:val="1"/>
                <w:color w:val="auto"/>
              </w:rPr>
              <w:t>1.2 mg</w:t>
            </w:r>
          </w:p>
        </w:tc>
        <w:tc>
          <w:tcPr>
            <w:tcW w:w="1200" w:type="dxa"/>
            <w:vAlign w:val="bottom"/>
            <w:tcBorders>
              <w:right w:val="single" w:sz="8" w:color="auto"/>
            </w:tcBorders>
          </w:tcPr>
          <w:p>
            <w:pPr>
              <w:ind w:left="420"/>
              <w:spacing w:after="0" w:line="116" w:lineRule="exact"/>
              <w:rPr>
                <w:sz w:val="20"/>
                <w:szCs w:val="20"/>
                <w:color w:val="auto"/>
              </w:rPr>
            </w:pPr>
            <w:r>
              <w:rPr>
                <w:rFonts w:ascii="Calibri" w:cs="Calibri" w:eastAsia="Calibri" w:hAnsi="Calibri"/>
                <w:sz w:val="11"/>
                <w:szCs w:val="11"/>
                <w:b w:val="1"/>
                <w:bCs w:val="1"/>
                <w:color w:val="auto"/>
              </w:rPr>
              <w:t>1.8 mg</w:t>
            </w:r>
          </w:p>
        </w:tc>
        <w:tc>
          <w:tcPr>
            <w:tcW w:w="1200" w:type="dxa"/>
            <w:vAlign w:val="bottom"/>
            <w:tcBorders>
              <w:right w:val="single" w:sz="8" w:color="auto"/>
            </w:tcBorders>
          </w:tcPr>
          <w:p>
            <w:pPr>
              <w:ind w:left="440"/>
              <w:spacing w:after="0" w:line="116" w:lineRule="exact"/>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70"/>
        </w:trPr>
        <w:tc>
          <w:tcPr>
            <w:tcW w:w="2700" w:type="dxa"/>
            <w:vAlign w:val="bottom"/>
            <w:tcBorders>
              <w:lef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(N=50)</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(N=69)</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(N=58)</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(N=55)</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70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0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Total cholesterol</w:t>
            </w:r>
          </w:p>
        </w:tc>
        <w:tc>
          <w:tcPr>
            <w:tcW w:w="11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8"/>
              </w:rPr>
              <w:t>-2.8 (2.0)</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8"/>
              </w:rPr>
              <w:t>-11.6 (1.7)**</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9"/>
              </w:rPr>
              <w:t>-13.1 (1.9)***</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6"/>
              </w:rPr>
              <w:t>-15.1 (2.0)***</w:t>
            </w: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right w:val="single" w:sz="8" w:color="auto"/>
            </w:tcBorders>
            <w:vMerge w:val="restart"/>
          </w:tcPr>
          <w:p>
            <w:pPr>
              <w:jc w:val="right"/>
              <w:ind w:right="508"/>
              <w:spacing w:after="0"/>
              <w:rPr>
                <w:sz w:val="20"/>
                <w:szCs w:val="20"/>
                <w:color w:val="auto"/>
              </w:rPr>
            </w:pPr>
            <w:r>
              <w:rPr>
                <w:rFonts w:ascii="Calibri" w:cs="Calibri" w:eastAsia="Calibri" w:hAnsi="Calibri"/>
                <w:sz w:val="11"/>
                <w:szCs w:val="11"/>
                <w:color w:val="auto"/>
              </w:rPr>
              <w:t>%,</w:t>
            </w: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700" w:type="dxa"/>
            <w:vAlign w:val="bottom"/>
            <w:tcBorders>
              <w:left w:val="single" w:sz="8" w:color="auto"/>
              <w:right w:val="single" w:sz="8" w:color="auto"/>
            </w:tcBorders>
            <w:vMerge w:val="restart"/>
          </w:tcPr>
          <w:p>
            <w:pPr>
              <w:ind w:left="80"/>
              <w:spacing w:after="0" w:line="132" w:lineRule="exact"/>
              <w:rPr>
                <w:sz w:val="20"/>
                <w:szCs w:val="20"/>
                <w:color w:val="auto"/>
              </w:rPr>
            </w:pPr>
            <w:r>
              <w:rPr>
                <w:rFonts w:ascii="Calibri" w:cs="Calibri" w:eastAsia="Calibri" w:hAnsi="Calibri"/>
                <w:sz w:val="11"/>
                <w:szCs w:val="11"/>
                <w:color w:val="auto"/>
              </w:rPr>
              <w:t>∆ LDL cholesterol</w:t>
            </w:r>
          </w:p>
        </w:tc>
        <w:tc>
          <w:tcPr>
            <w:tcW w:w="116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restart"/>
          </w:tcPr>
          <w:p>
            <w:pPr>
              <w:jc w:val="center"/>
              <w:spacing w:after="0" w:line="132" w:lineRule="exact"/>
              <w:rPr>
                <w:sz w:val="20"/>
                <w:szCs w:val="20"/>
                <w:color w:val="auto"/>
              </w:rPr>
            </w:pPr>
            <w:r>
              <w:rPr>
                <w:rFonts w:ascii="Calibri" w:cs="Calibri" w:eastAsia="Calibri" w:hAnsi="Calibri"/>
                <w:sz w:val="11"/>
                <w:szCs w:val="11"/>
                <w:color w:val="auto"/>
                <w:w w:val="98"/>
              </w:rPr>
              <w:t>-2.8 (4.1)</w:t>
            </w:r>
          </w:p>
        </w:tc>
        <w:tc>
          <w:tcPr>
            <w:tcW w:w="1200" w:type="dxa"/>
            <w:vAlign w:val="bottom"/>
            <w:tcBorders>
              <w:right w:val="single" w:sz="8" w:color="auto"/>
            </w:tcBorders>
            <w:vMerge w:val="restart"/>
          </w:tcPr>
          <w:p>
            <w:pPr>
              <w:jc w:val="center"/>
              <w:spacing w:after="0" w:line="132" w:lineRule="exact"/>
              <w:rPr>
                <w:sz w:val="20"/>
                <w:szCs w:val="20"/>
                <w:color w:val="auto"/>
              </w:rPr>
            </w:pPr>
            <w:r>
              <w:rPr>
                <w:rFonts w:ascii="Calibri" w:cs="Calibri" w:eastAsia="Calibri" w:hAnsi="Calibri"/>
                <w:sz w:val="11"/>
                <w:szCs w:val="11"/>
                <w:color w:val="auto"/>
                <w:w w:val="98"/>
              </w:rPr>
              <w:t>-6.2 (3.5)</w:t>
            </w:r>
          </w:p>
        </w:tc>
        <w:tc>
          <w:tcPr>
            <w:tcW w:w="1200" w:type="dxa"/>
            <w:vAlign w:val="bottom"/>
            <w:tcBorders>
              <w:right w:val="single" w:sz="8" w:color="auto"/>
            </w:tcBorders>
            <w:vMerge w:val="restart"/>
          </w:tcPr>
          <w:p>
            <w:pPr>
              <w:jc w:val="center"/>
              <w:ind w:right="6"/>
              <w:spacing w:after="0" w:line="132" w:lineRule="exact"/>
              <w:rPr>
                <w:sz w:val="20"/>
                <w:szCs w:val="20"/>
                <w:color w:val="auto"/>
              </w:rPr>
            </w:pPr>
            <w:r>
              <w:rPr>
                <w:rFonts w:ascii="Calibri" w:cs="Calibri" w:eastAsia="Calibri" w:hAnsi="Calibri"/>
                <w:sz w:val="11"/>
                <w:szCs w:val="11"/>
                <w:color w:val="auto"/>
              </w:rPr>
              <w:t>-11.2 (3.8)</w:t>
            </w:r>
          </w:p>
        </w:tc>
        <w:tc>
          <w:tcPr>
            <w:tcW w:w="1200" w:type="dxa"/>
            <w:vAlign w:val="bottom"/>
            <w:tcBorders>
              <w:right w:val="single" w:sz="8" w:color="auto"/>
            </w:tcBorders>
            <w:vMerge w:val="restart"/>
          </w:tcPr>
          <w:p>
            <w:pPr>
              <w:jc w:val="center"/>
              <w:spacing w:after="0" w:line="132" w:lineRule="exact"/>
              <w:rPr>
                <w:sz w:val="20"/>
                <w:szCs w:val="20"/>
                <w:color w:val="auto"/>
              </w:rPr>
            </w:pPr>
            <w:r>
              <w:rPr>
                <w:rFonts w:ascii="Calibri" w:cs="Calibri" w:eastAsia="Calibri" w:hAnsi="Calibri"/>
                <w:sz w:val="11"/>
                <w:szCs w:val="11"/>
                <w:color w:val="auto"/>
                <w:w w:val="98"/>
              </w:rPr>
              <w:t>-9.9 (3.9)</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ind w:right="8"/>
              <w:spacing w:after="0" w:line="127" w:lineRule="exact"/>
              <w:rPr>
                <w:sz w:val="20"/>
                <w:szCs w:val="20"/>
                <w:color w:val="auto"/>
              </w:rPr>
            </w:pPr>
            <w:r>
              <w:rPr>
                <w:rFonts w:ascii="Calibri" w:cs="Calibri" w:eastAsia="Calibri" w:hAnsi="Calibri"/>
                <w:sz w:val="9"/>
                <w:szCs w:val="9"/>
                <w:color w:val="auto"/>
              </w:rPr>
              <w:t>LSM (SE)</w:t>
            </w:r>
            <w:r>
              <w:rPr>
                <w:rFonts w:ascii="Calibri" w:cs="Calibri" w:eastAsia="Calibri" w:hAnsi="Calibri"/>
                <w:sz w:val="13"/>
                <w:szCs w:val="13"/>
                <w:color w:val="auto"/>
                <w:vertAlign w:val="superscript"/>
              </w:rPr>
              <w:t>3</w:t>
            </w: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0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 Triglycerides</w:t>
            </w:r>
          </w:p>
        </w:tc>
        <w:tc>
          <w:tcPr>
            <w:tcW w:w="11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8"/>
              </w:rPr>
              <w:t>+7.3 (4.6)</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9"/>
              </w:rPr>
              <w:t>-21.7 (3.9)***</w:t>
            </w:r>
          </w:p>
        </w:tc>
        <w:tc>
          <w:tcPr>
            <w:tcW w:w="1200" w:type="dxa"/>
            <w:vAlign w:val="bottom"/>
            <w:tcBorders>
              <w:right w:val="single" w:sz="8" w:color="auto"/>
            </w:tcBorders>
          </w:tcPr>
          <w:p>
            <w:pPr>
              <w:jc w:val="center"/>
              <w:ind w:right="6"/>
              <w:spacing w:after="0" w:line="132" w:lineRule="exact"/>
              <w:rPr>
                <w:sz w:val="20"/>
                <w:szCs w:val="20"/>
                <w:color w:val="auto"/>
              </w:rPr>
            </w:pPr>
            <w:r>
              <w:rPr>
                <w:rFonts w:ascii="Calibri" w:cs="Calibri" w:eastAsia="Calibri" w:hAnsi="Calibri"/>
                <w:sz w:val="11"/>
                <w:szCs w:val="11"/>
                <w:color w:val="auto"/>
                <w:w w:val="99"/>
              </w:rPr>
              <w:t>-22.3 (4.3)***</w:t>
            </w:r>
          </w:p>
        </w:tc>
        <w:tc>
          <w:tcPr>
            <w:tcW w:w="120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w w:val="96"/>
              </w:rPr>
              <w:t>-34.9 (4.4)***</w:t>
            </w:r>
          </w:p>
        </w:tc>
        <w:tc>
          <w:tcPr>
            <w:tcW w:w="0" w:type="dxa"/>
            <w:vAlign w:val="bottom"/>
          </w:tcPr>
          <w:p>
            <w:pPr>
              <w:spacing w:after="0"/>
              <w:rPr>
                <w:sz w:val="1"/>
                <w:szCs w:val="1"/>
                <w:color w:val="auto"/>
              </w:rPr>
            </w:pPr>
          </w:p>
        </w:tc>
      </w:tr>
      <w:tr>
        <w:trPr>
          <w:trHeight w:val="55"/>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2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7" w:name="page8"/>
    <w:bookmarkEnd w:id="7"/>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840105" cy="605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40105" cy="605790"/>
                    </a:xfrm>
                    <a:prstGeom prst="rect">
                      <a:avLst/>
                    </a:prstGeom>
                    <a:noFill/>
                  </pic:spPr>
                </pic:pic>
              </a:graphicData>
            </a:graphic>
          </wp:anchor>
        </w:drawing>
      </w:r>
    </w:p>
    <w:tbl>
      <w:tblPr>
        <w:tblLayout w:type="fixed"/>
        <w:tblInd w:w="190" w:type="dxa"/>
        <w:tblCellMar>
          <w:top w:w="0" w:type="dxa"/>
          <w:left w:w="0" w:type="dxa"/>
          <w:bottom w:w="0" w:type="dxa"/>
          <w:right w:w="0" w:type="dxa"/>
        </w:tblCellMar>
      </w:tblPr>
      <w:tr>
        <w:trPr>
          <w:trHeight w:val="152"/>
        </w:trPr>
        <w:tc>
          <w:tcPr>
            <w:tcW w:w="2700" w:type="dxa"/>
            <w:vAlign w:val="bottom"/>
            <w:tcBorders>
              <w:top w:val="single" w:sz="8" w:color="auto"/>
              <w:left w:val="single" w:sz="8" w:color="auto"/>
            </w:tcBorders>
            <w:vMerge w:val="restart"/>
          </w:tcPr>
          <w:p>
            <w:pPr>
              <w:ind w:left="60"/>
              <w:spacing w:after="0"/>
              <w:rPr>
                <w:sz w:val="20"/>
                <w:szCs w:val="20"/>
                <w:color w:val="auto"/>
              </w:rPr>
            </w:pPr>
            <w:r>
              <w:rPr>
                <w:rFonts w:ascii="Calibri" w:cs="Calibri" w:eastAsia="Calibri" w:hAnsi="Calibri"/>
                <w:sz w:val="11"/>
                <w:szCs w:val="11"/>
                <w:b w:val="1"/>
                <w:bCs w:val="1"/>
                <w:color w:val="auto"/>
              </w:rPr>
              <w:t>Blood Pressure and Heart Rate</w:t>
            </w:r>
          </w:p>
        </w:tc>
        <w:tc>
          <w:tcPr>
            <w:tcW w:w="116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ind w:left="400"/>
              <w:spacing w:after="0"/>
              <w:rPr>
                <w:sz w:val="20"/>
                <w:szCs w:val="20"/>
                <w:color w:val="auto"/>
              </w:rPr>
            </w:pPr>
            <w:r>
              <w:rPr>
                <w:rFonts w:ascii="Calibri" w:cs="Calibri" w:eastAsia="Calibri" w:hAnsi="Calibri"/>
                <w:sz w:val="11"/>
                <w:szCs w:val="11"/>
                <w:b w:val="1"/>
                <w:bCs w:val="1"/>
                <w:color w:val="auto"/>
              </w:rPr>
              <w:t>Placebo</w:t>
            </w:r>
          </w:p>
        </w:tc>
        <w:tc>
          <w:tcPr>
            <w:tcW w:w="120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1.2 mg</w:t>
            </w:r>
          </w:p>
        </w:tc>
        <w:tc>
          <w:tcPr>
            <w:tcW w:w="120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1.8 mg</w:t>
            </w:r>
          </w:p>
        </w:tc>
        <w:tc>
          <w:tcPr>
            <w:tcW w:w="1200" w:type="dxa"/>
            <w:vAlign w:val="bottom"/>
            <w:tcBorders>
              <w:top w:val="single" w:sz="8" w:color="auto"/>
              <w:right w:val="single" w:sz="8" w:color="auto"/>
            </w:tcBorders>
          </w:tcPr>
          <w:p>
            <w:pPr>
              <w:ind w:left="440"/>
              <w:spacing w:after="0"/>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tcBorders>
            <w:vMerge w:val="continue"/>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(N=97)</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(N=98)</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(N=99)</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(N=97)</w:t>
            </w:r>
          </w:p>
        </w:tc>
        <w:tc>
          <w:tcPr>
            <w:tcW w:w="0" w:type="dxa"/>
            <w:vAlign w:val="bottom"/>
          </w:tcPr>
          <w:p>
            <w:pPr>
              <w:spacing w:after="0"/>
              <w:rPr>
                <w:sz w:val="1"/>
                <w:szCs w:val="1"/>
                <w:color w:val="auto"/>
              </w:rPr>
            </w:pPr>
          </w:p>
        </w:tc>
      </w:tr>
      <w:tr>
        <w:trPr>
          <w:trHeight w:val="63"/>
        </w:trPr>
        <w:tc>
          <w:tcPr>
            <w:tcW w:w="2700" w:type="dxa"/>
            <w:vAlign w:val="bottom"/>
            <w:tcBorders>
              <w:lef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7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70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1"/>
                <w:szCs w:val="11"/>
                <w:color w:val="auto"/>
              </w:rPr>
              <w:t>∆ Systolic BP</w:t>
            </w:r>
          </w:p>
        </w:tc>
        <w:tc>
          <w:tcPr>
            <w:tcW w:w="1160" w:type="dxa"/>
            <w:vAlign w:val="bottom"/>
            <w:tcBorders>
              <w:right w:val="single" w:sz="8" w:color="auto"/>
            </w:tcBorders>
            <w:vMerge w:val="restart"/>
          </w:tcPr>
          <w:p>
            <w:pPr>
              <w:jc w:val="center"/>
              <w:ind w:right="8"/>
              <w:spacing w:after="0"/>
              <w:rPr>
                <w:sz w:val="20"/>
                <w:szCs w:val="20"/>
                <w:color w:val="auto"/>
              </w:rPr>
            </w:pPr>
            <w:r>
              <w:rPr>
                <w:rFonts w:ascii="Calibri" w:cs="Calibri" w:eastAsia="Calibri" w:hAnsi="Calibri"/>
                <w:sz w:val="11"/>
                <w:szCs w:val="11"/>
                <w:color w:val="auto"/>
                <w:w w:val="97"/>
              </w:rPr>
              <w:t>mm Hg,</w:t>
            </w:r>
          </w:p>
        </w:tc>
        <w:tc>
          <w:tcPr>
            <w:tcW w:w="120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8"/>
              </w:rPr>
              <w:t>+3.5 (2.3)</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8"/>
              </w:rPr>
              <w:t>-2.3 (2.2)</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8"/>
              </w:rPr>
              <w:t>-1.6 (2.2)</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8"/>
              </w:rPr>
              <w:t>-4.6 (2.3)</w:t>
            </w:r>
          </w:p>
        </w:tc>
        <w:tc>
          <w:tcPr>
            <w:tcW w:w="0" w:type="dxa"/>
            <w:vAlign w:val="bottom"/>
          </w:tcPr>
          <w:p>
            <w:pPr>
              <w:spacing w:after="0"/>
              <w:rPr>
                <w:sz w:val="1"/>
                <w:szCs w:val="1"/>
                <w:color w:val="auto"/>
              </w:rPr>
            </w:pPr>
          </w:p>
        </w:tc>
      </w:tr>
      <w:tr>
        <w:trPr>
          <w:trHeight w:val="36"/>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70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1"/>
                <w:szCs w:val="11"/>
                <w:color w:val="auto"/>
              </w:rPr>
              <w:t>∆ Diastolic BP</w:t>
            </w:r>
          </w:p>
        </w:tc>
        <w:tc>
          <w:tcPr>
            <w:tcW w:w="1160" w:type="dxa"/>
            <w:vAlign w:val="bottom"/>
            <w:tcBorders>
              <w:right w:val="single" w:sz="8" w:color="auto"/>
            </w:tcBorders>
          </w:tcPr>
          <w:p>
            <w:pPr>
              <w:jc w:val="center"/>
              <w:ind w:right="8"/>
              <w:spacing w:after="0" w:line="125" w:lineRule="exact"/>
              <w:rPr>
                <w:sz w:val="20"/>
                <w:szCs w:val="20"/>
                <w:color w:val="auto"/>
              </w:rPr>
            </w:pPr>
            <w:r>
              <w:rPr>
                <w:rFonts w:ascii="Calibri" w:cs="Calibri" w:eastAsia="Calibri" w:hAnsi="Calibri"/>
                <w:sz w:val="9"/>
                <w:szCs w:val="9"/>
                <w:color w:val="auto"/>
              </w:rPr>
              <w:t>LSM (SE)</w:t>
            </w:r>
            <w:r>
              <w:rPr>
                <w:rFonts w:ascii="Calibri" w:cs="Calibri" w:eastAsia="Calibri" w:hAnsi="Calibri"/>
                <w:sz w:val="13"/>
                <w:szCs w:val="13"/>
                <w:color w:val="auto"/>
                <w:vertAlign w:val="superscript"/>
              </w:rPr>
              <w:t>1</w:t>
            </w: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color w:val="auto"/>
                <w:w w:val="98"/>
              </w:rPr>
              <w:t>+1.8 (1.4)</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8"/>
              </w:rPr>
              <w:t>-2.1 (1.3)</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8"/>
              </w:rPr>
              <w:t>-1.0 (1.3)</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8"/>
              </w:rPr>
              <w:t>-2.9 (1.4)</w:t>
            </w:r>
          </w:p>
        </w:tc>
        <w:tc>
          <w:tcPr>
            <w:tcW w:w="0" w:type="dxa"/>
            <w:vAlign w:val="bottom"/>
          </w:tcPr>
          <w:p>
            <w:pPr>
              <w:spacing w:after="0"/>
              <w:rPr>
                <w:sz w:val="1"/>
                <w:szCs w:val="1"/>
                <w:color w:val="auto"/>
              </w:rPr>
            </w:pPr>
          </w:p>
        </w:tc>
      </w:tr>
      <w:tr>
        <w:trPr>
          <w:trHeight w:val="26"/>
        </w:trPr>
        <w:tc>
          <w:tcPr>
            <w:tcW w:w="2700" w:type="dxa"/>
            <w:vAlign w:val="bottom"/>
            <w:tcBorders>
              <w:left w:val="single" w:sz="8" w:color="auto"/>
              <w:right w:val="single" w:sz="8" w:color="auto"/>
            </w:tcBorders>
            <w:vMerge w:val="continue"/>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70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11"/>
                <w:szCs w:val="11"/>
                <w:color w:val="auto"/>
              </w:rPr>
              <w:t>∆ Heart rate</w:t>
            </w:r>
          </w:p>
        </w:tc>
        <w:tc>
          <w:tcPr>
            <w:tcW w:w="116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rPr>
              <w:t>bpm,</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8"/>
              </w:rPr>
              <w:t>-1.4 (1.6)</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7"/>
              </w:rPr>
              <w:t>0.1 (1.5)</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7"/>
              </w:rPr>
              <w:t>3.1 (1.5)</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w w:val="97"/>
              </w:rPr>
              <w:t>2.5 (1.6)</w:t>
            </w:r>
          </w:p>
        </w:tc>
        <w:tc>
          <w:tcPr>
            <w:tcW w:w="0" w:type="dxa"/>
            <w:vAlign w:val="bottom"/>
          </w:tcPr>
          <w:p>
            <w:pPr>
              <w:spacing w:after="0"/>
              <w:rPr>
                <w:sz w:val="1"/>
                <w:szCs w:val="1"/>
                <w:color w:val="auto"/>
              </w:rPr>
            </w:pPr>
          </w:p>
        </w:tc>
      </w:tr>
      <w:tr>
        <w:trPr>
          <w:trHeight w:val="72"/>
        </w:trPr>
        <w:tc>
          <w:tcPr>
            <w:tcW w:w="2700" w:type="dxa"/>
            <w:vAlign w:val="bottom"/>
            <w:tcBorders>
              <w:left w:val="single" w:sz="8" w:color="auto"/>
              <w:right w:val="single" w:sz="8" w:color="auto"/>
            </w:tcBorders>
            <w:vMerge w:val="continue"/>
          </w:tcPr>
          <w:p>
            <w:pPr>
              <w:spacing w:after="0"/>
              <w:rPr>
                <w:sz w:val="6"/>
                <w:szCs w:val="6"/>
                <w:color w:val="auto"/>
              </w:rPr>
            </w:pPr>
          </w:p>
        </w:tc>
        <w:tc>
          <w:tcPr>
            <w:tcW w:w="1160" w:type="dxa"/>
            <w:vAlign w:val="bottom"/>
            <w:tcBorders>
              <w:right w:val="single" w:sz="8" w:color="auto"/>
            </w:tcBorders>
            <w:vMerge w:val="restart"/>
          </w:tcPr>
          <w:p>
            <w:pPr>
              <w:jc w:val="center"/>
              <w:ind w:right="8"/>
              <w:spacing w:after="0" w:line="163" w:lineRule="exact"/>
              <w:rPr>
                <w:sz w:val="20"/>
                <w:szCs w:val="20"/>
                <w:color w:val="auto"/>
              </w:rPr>
            </w:pPr>
            <w:r>
              <w:rPr>
                <w:rFonts w:ascii="Calibri" w:cs="Calibri" w:eastAsia="Calibri" w:hAnsi="Calibri"/>
                <w:sz w:val="11"/>
                <w:szCs w:val="11"/>
                <w:color w:val="auto"/>
                <w:w w:val="95"/>
              </w:rPr>
              <w:t>LSM (SE)</w:t>
            </w:r>
            <w:r>
              <w:rPr>
                <w:rFonts w:ascii="Calibri" w:cs="Calibri" w:eastAsia="Calibri" w:hAnsi="Calibri"/>
                <w:sz w:val="16"/>
                <w:szCs w:val="16"/>
                <w:color w:val="auto"/>
                <w:w w:val="95"/>
                <w:vertAlign w:val="superscript"/>
              </w:rPr>
              <w:t>1</w:t>
            </w: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70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80" w:right="4279" w:firstLine="1"/>
        <w:spacing w:after="0" w:line="308" w:lineRule="auto"/>
        <w:tabs>
          <w:tab w:leader="none" w:pos="238" w:val="left"/>
        </w:tabs>
        <w:numPr>
          <w:ilvl w:val="0"/>
          <w:numId w:val="5"/>
        </w:numPr>
        <w:rPr>
          <w:rFonts w:ascii="Calibri" w:cs="Calibri" w:eastAsia="Calibri" w:hAnsi="Calibri"/>
          <w:sz w:val="14"/>
          <w:szCs w:val="14"/>
          <w:color w:val="auto"/>
          <w:vertAlign w:val="superscript"/>
        </w:rPr>
      </w:pPr>
      <w:r>
        <w:rPr>
          <w:rFonts w:ascii="Calibri" w:cs="Calibri" w:eastAsia="Calibri" w:hAnsi="Calibri"/>
          <w:sz w:val="10"/>
          <w:szCs w:val="10"/>
          <w:color w:val="auto"/>
        </w:rPr>
        <w:t xml:space="preserve">MMRM (mixed model for repeated measures), </w:t>
      </w:r>
      <w:r>
        <w:rPr>
          <w:rFonts w:ascii="Calibri" w:cs="Calibri" w:eastAsia="Calibri" w:hAnsi="Calibri"/>
          <w:sz w:val="14"/>
          <w:szCs w:val="14"/>
          <w:color w:val="auto"/>
          <w:vertAlign w:val="superscript"/>
        </w:rPr>
        <w:t>2</w:t>
      </w:r>
      <w:r>
        <w:rPr>
          <w:rFonts w:ascii="Calibri" w:cs="Calibri" w:eastAsia="Calibri" w:hAnsi="Calibri"/>
          <w:sz w:val="10"/>
          <w:szCs w:val="10"/>
          <w:color w:val="auto"/>
        </w:rPr>
        <w:t xml:space="preserve"> CMH (Cochran Mantel Haenszel), </w:t>
      </w:r>
      <w:r>
        <w:rPr>
          <w:rFonts w:ascii="Calibri" w:cs="Calibri" w:eastAsia="Calibri" w:hAnsi="Calibri"/>
          <w:sz w:val="14"/>
          <w:szCs w:val="14"/>
          <w:color w:val="auto"/>
          <w:vertAlign w:val="superscript"/>
        </w:rPr>
        <w:t>3</w:t>
      </w:r>
      <w:r>
        <w:rPr>
          <w:rFonts w:ascii="Calibri" w:cs="Calibri" w:eastAsia="Calibri" w:hAnsi="Calibri"/>
          <w:sz w:val="10"/>
          <w:szCs w:val="10"/>
          <w:color w:val="auto"/>
        </w:rPr>
        <w:t xml:space="preserve"> ANCOVA (analysis of covariance) *p &lt; 0.05; **p &lt; 0.005, ***p &lt; 0.001, ****p &lt; 0.0001 compared with placebo</w:t>
      </w:r>
    </w:p>
    <w:p>
      <w:pPr>
        <w:spacing w:after="0" w:line="46"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Summary of Safety and Tolerability</w:t>
      </w:r>
    </w:p>
    <w:p>
      <w:pPr>
        <w:spacing w:after="0" w:line="83" w:lineRule="exact"/>
        <w:rPr>
          <w:sz w:val="20"/>
          <w:szCs w:val="20"/>
          <w:color w:val="auto"/>
        </w:rPr>
      </w:pPr>
    </w:p>
    <w:tbl>
      <w:tblPr>
        <w:tblLayout w:type="fixed"/>
        <w:tblInd w:w="190" w:type="dxa"/>
        <w:tblCellMar>
          <w:top w:w="0" w:type="dxa"/>
          <w:left w:w="0" w:type="dxa"/>
          <w:bottom w:w="0" w:type="dxa"/>
          <w:right w:w="0" w:type="dxa"/>
        </w:tblCellMar>
      </w:tblPr>
      <w:tr>
        <w:trPr>
          <w:trHeight w:val="136"/>
        </w:trPr>
        <w:tc>
          <w:tcPr>
            <w:tcW w:w="2340" w:type="dxa"/>
            <w:vAlign w:val="bottom"/>
            <w:tcBorders>
              <w:top w:val="single" w:sz="8" w:color="auto"/>
              <w:left w:val="single" w:sz="8" w:color="auto"/>
            </w:tcBorders>
            <w:vMerge w:val="restart"/>
          </w:tcPr>
          <w:p>
            <w:pPr>
              <w:ind w:left="80"/>
              <w:spacing w:after="0"/>
              <w:rPr>
                <w:sz w:val="20"/>
                <w:szCs w:val="20"/>
                <w:color w:val="auto"/>
              </w:rPr>
            </w:pPr>
            <w:r>
              <w:rPr>
                <w:rFonts w:ascii="Calibri" w:cs="Calibri" w:eastAsia="Calibri" w:hAnsi="Calibri"/>
                <w:sz w:val="11"/>
                <w:szCs w:val="11"/>
                <w:b w:val="1"/>
                <w:bCs w:val="1"/>
                <w:color w:val="auto"/>
              </w:rPr>
              <w:t>Adverse events (AEs)</w:t>
            </w:r>
          </w:p>
        </w:tc>
        <w:tc>
          <w:tcPr>
            <w:tcW w:w="154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gridSpan w:val="2"/>
          </w:tcPr>
          <w:p>
            <w:pPr>
              <w:jc w:val="center"/>
              <w:spacing w:after="0"/>
              <w:rPr>
                <w:sz w:val="20"/>
                <w:szCs w:val="20"/>
                <w:color w:val="auto"/>
              </w:rPr>
            </w:pPr>
            <w:r>
              <w:rPr>
                <w:rFonts w:ascii="Calibri" w:cs="Calibri" w:eastAsia="Calibri" w:hAnsi="Calibri"/>
                <w:sz w:val="11"/>
                <w:szCs w:val="11"/>
                <w:b w:val="1"/>
                <w:bCs w:val="1"/>
                <w:color w:val="auto"/>
              </w:rPr>
              <w:t>Placebo</w:t>
            </w:r>
          </w:p>
        </w:tc>
        <w:tc>
          <w:tcPr>
            <w:tcW w:w="1200" w:type="dxa"/>
            <w:vAlign w:val="bottom"/>
            <w:tcBorders>
              <w:top w:val="single" w:sz="8" w:color="auto"/>
              <w:right w:val="single" w:sz="8" w:color="auto"/>
            </w:tcBorders>
            <w:gridSpan w:val="2"/>
          </w:tcPr>
          <w:p>
            <w:pPr>
              <w:ind w:left="440"/>
              <w:spacing w:after="0"/>
              <w:rPr>
                <w:sz w:val="20"/>
                <w:szCs w:val="20"/>
                <w:color w:val="auto"/>
              </w:rPr>
            </w:pPr>
            <w:r>
              <w:rPr>
                <w:rFonts w:ascii="Calibri" w:cs="Calibri" w:eastAsia="Calibri" w:hAnsi="Calibri"/>
                <w:sz w:val="11"/>
                <w:szCs w:val="11"/>
                <w:b w:val="1"/>
                <w:bCs w:val="1"/>
                <w:color w:val="auto"/>
              </w:rPr>
              <w:t>1.2 mg</w:t>
            </w:r>
          </w:p>
        </w:tc>
        <w:tc>
          <w:tcPr>
            <w:tcW w:w="1200" w:type="dxa"/>
            <w:vAlign w:val="bottom"/>
            <w:tcBorders>
              <w:top w:val="single" w:sz="8" w:color="auto"/>
              <w:right w:val="single" w:sz="8" w:color="auto"/>
            </w:tcBorders>
            <w:gridSpan w:val="2"/>
          </w:tcPr>
          <w:p>
            <w:pPr>
              <w:ind w:left="420"/>
              <w:spacing w:after="0"/>
              <w:rPr>
                <w:sz w:val="20"/>
                <w:szCs w:val="20"/>
                <w:color w:val="auto"/>
              </w:rPr>
            </w:pPr>
            <w:r>
              <w:rPr>
                <w:rFonts w:ascii="Calibri" w:cs="Calibri" w:eastAsia="Calibri" w:hAnsi="Calibri"/>
                <w:sz w:val="11"/>
                <w:szCs w:val="11"/>
                <w:b w:val="1"/>
                <w:bCs w:val="1"/>
                <w:color w:val="auto"/>
              </w:rPr>
              <w:t>1.8 mg</w:t>
            </w:r>
          </w:p>
        </w:tc>
        <w:tc>
          <w:tcPr>
            <w:tcW w:w="1180" w:type="dxa"/>
            <w:vAlign w:val="bottom"/>
            <w:tcBorders>
              <w:top w:val="single" w:sz="8" w:color="auto"/>
              <w:right w:val="single" w:sz="8" w:color="auto"/>
            </w:tcBorders>
            <w:gridSpan w:val="2"/>
          </w:tcPr>
          <w:p>
            <w:pPr>
              <w:ind w:left="420"/>
              <w:spacing w:after="0"/>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61"/>
        </w:trPr>
        <w:tc>
          <w:tcPr>
            <w:tcW w:w="2340" w:type="dxa"/>
            <w:vAlign w:val="bottom"/>
            <w:tcBorders>
              <w:left w:val="single" w:sz="8" w:color="auto"/>
            </w:tcBorders>
            <w:vMerge w:val="continue"/>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gridSpan w:val="2"/>
            <w:vMerge w:val="restart"/>
          </w:tcPr>
          <w:p>
            <w:pPr>
              <w:jc w:val="center"/>
              <w:spacing w:after="0" w:line="133" w:lineRule="exact"/>
              <w:rPr>
                <w:sz w:val="20"/>
                <w:szCs w:val="20"/>
                <w:color w:val="auto"/>
              </w:rPr>
            </w:pPr>
            <w:r>
              <w:rPr>
                <w:rFonts w:ascii="Calibri" w:cs="Calibri" w:eastAsia="Calibri" w:hAnsi="Calibri"/>
                <w:sz w:val="11"/>
                <w:szCs w:val="11"/>
                <w:b w:val="1"/>
                <w:bCs w:val="1"/>
                <w:color w:val="auto"/>
                <w:w w:val="97"/>
              </w:rPr>
              <w:t>(N=97)</w:t>
            </w:r>
          </w:p>
        </w:tc>
        <w:tc>
          <w:tcPr>
            <w:tcW w:w="1200" w:type="dxa"/>
            <w:vAlign w:val="bottom"/>
            <w:tcBorders>
              <w:right w:val="single" w:sz="8" w:color="auto"/>
            </w:tcBorders>
            <w:gridSpan w:val="2"/>
            <w:vMerge w:val="restart"/>
          </w:tcPr>
          <w:p>
            <w:pPr>
              <w:ind w:left="440"/>
              <w:spacing w:after="0" w:line="133" w:lineRule="exact"/>
              <w:rPr>
                <w:sz w:val="20"/>
                <w:szCs w:val="20"/>
                <w:color w:val="auto"/>
              </w:rPr>
            </w:pPr>
            <w:r>
              <w:rPr>
                <w:rFonts w:ascii="Calibri" w:cs="Calibri" w:eastAsia="Calibri" w:hAnsi="Calibri"/>
                <w:sz w:val="11"/>
                <w:szCs w:val="11"/>
                <w:b w:val="1"/>
                <w:bCs w:val="1"/>
                <w:color w:val="auto"/>
              </w:rPr>
              <w:t>(N=98)</w:t>
            </w:r>
          </w:p>
        </w:tc>
        <w:tc>
          <w:tcPr>
            <w:tcW w:w="1200" w:type="dxa"/>
            <w:vAlign w:val="bottom"/>
            <w:tcBorders>
              <w:right w:val="single" w:sz="8" w:color="auto"/>
            </w:tcBorders>
            <w:gridSpan w:val="2"/>
            <w:vMerge w:val="restart"/>
          </w:tcPr>
          <w:p>
            <w:pPr>
              <w:ind w:left="420"/>
              <w:spacing w:after="0" w:line="133" w:lineRule="exact"/>
              <w:rPr>
                <w:sz w:val="20"/>
                <w:szCs w:val="20"/>
                <w:color w:val="auto"/>
              </w:rPr>
            </w:pPr>
            <w:r>
              <w:rPr>
                <w:rFonts w:ascii="Calibri" w:cs="Calibri" w:eastAsia="Calibri" w:hAnsi="Calibri"/>
                <w:sz w:val="11"/>
                <w:szCs w:val="11"/>
                <w:b w:val="1"/>
                <w:bCs w:val="1"/>
                <w:color w:val="auto"/>
              </w:rPr>
              <w:t>(N=99)</w:t>
            </w:r>
          </w:p>
        </w:tc>
        <w:tc>
          <w:tcPr>
            <w:tcW w:w="1180" w:type="dxa"/>
            <w:vAlign w:val="bottom"/>
            <w:tcBorders>
              <w:right w:val="single" w:sz="8" w:color="auto"/>
            </w:tcBorders>
            <w:gridSpan w:val="2"/>
            <w:vMerge w:val="restart"/>
          </w:tcPr>
          <w:p>
            <w:pPr>
              <w:jc w:val="center"/>
              <w:spacing w:after="0" w:line="133" w:lineRule="exact"/>
              <w:rPr>
                <w:sz w:val="20"/>
                <w:szCs w:val="20"/>
                <w:color w:val="auto"/>
              </w:rPr>
            </w:pPr>
            <w:r>
              <w:rPr>
                <w:rFonts w:ascii="Calibri" w:cs="Calibri" w:eastAsia="Calibri" w:hAnsi="Calibri"/>
                <w:sz w:val="11"/>
                <w:szCs w:val="11"/>
                <w:b w:val="1"/>
                <w:bCs w:val="1"/>
                <w:color w:val="auto"/>
                <w:w w:val="97"/>
              </w:rPr>
              <w:t>(N=97)</w:t>
            </w:r>
          </w:p>
        </w:tc>
        <w:tc>
          <w:tcPr>
            <w:tcW w:w="0" w:type="dxa"/>
            <w:vAlign w:val="bottom"/>
          </w:tcPr>
          <w:p>
            <w:pPr>
              <w:spacing w:after="0"/>
              <w:rPr>
                <w:sz w:val="1"/>
                <w:szCs w:val="1"/>
                <w:color w:val="auto"/>
              </w:rPr>
            </w:pPr>
          </w:p>
        </w:tc>
      </w:tr>
      <w:tr>
        <w:trPr>
          <w:trHeight w:val="72"/>
        </w:trPr>
        <w:tc>
          <w:tcPr>
            <w:tcW w:w="234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gridSpan w:val="2"/>
            <w:vMerge w:val="continue"/>
          </w:tcPr>
          <w:p>
            <w:pPr>
              <w:spacing w:after="0"/>
              <w:rPr>
                <w:sz w:val="6"/>
                <w:szCs w:val="6"/>
                <w:color w:val="auto"/>
              </w:rPr>
            </w:pPr>
          </w:p>
        </w:tc>
        <w:tc>
          <w:tcPr>
            <w:tcW w:w="1200" w:type="dxa"/>
            <w:vAlign w:val="bottom"/>
            <w:tcBorders>
              <w:right w:val="single" w:sz="8" w:color="auto"/>
            </w:tcBorders>
            <w:gridSpan w:val="2"/>
            <w:vMerge w:val="continue"/>
          </w:tcPr>
          <w:p>
            <w:pPr>
              <w:spacing w:after="0"/>
              <w:rPr>
                <w:sz w:val="6"/>
                <w:szCs w:val="6"/>
                <w:color w:val="auto"/>
              </w:rPr>
            </w:pPr>
          </w:p>
        </w:tc>
        <w:tc>
          <w:tcPr>
            <w:tcW w:w="1200" w:type="dxa"/>
            <w:vAlign w:val="bottom"/>
            <w:tcBorders>
              <w:right w:val="single" w:sz="8" w:color="auto"/>
            </w:tcBorders>
            <w:gridSpan w:val="2"/>
            <w:vMerge w:val="continue"/>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340" w:type="dxa"/>
            <w:vAlign w:val="bottom"/>
            <w:tcBorders>
              <w:left w:val="single" w:sz="8" w:color="auto"/>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340" w:type="dxa"/>
            <w:vAlign w:val="bottom"/>
            <w:tcBorders>
              <w:left w:val="single" w:sz="8" w:color="auto"/>
              <w:bottom w:val="single" w:sz="8" w:color="auto"/>
              <w:right w:val="single" w:sz="8" w:color="auto"/>
            </w:tcBorders>
          </w:tcPr>
          <w:p>
            <w:pPr>
              <w:ind w:left="80"/>
              <w:spacing w:after="0" w:line="127" w:lineRule="exact"/>
              <w:rPr>
                <w:sz w:val="20"/>
                <w:szCs w:val="20"/>
                <w:color w:val="auto"/>
              </w:rPr>
            </w:pPr>
            <w:r>
              <w:rPr>
                <w:rFonts w:ascii="Calibri" w:cs="Calibri" w:eastAsia="Calibri" w:hAnsi="Calibri"/>
                <w:sz w:val="11"/>
                <w:szCs w:val="11"/>
                <w:color w:val="auto"/>
              </w:rPr>
              <w:t>SAEs related to study drug</w:t>
            </w:r>
          </w:p>
        </w:tc>
        <w:tc>
          <w:tcPr>
            <w:tcW w:w="1540" w:type="dxa"/>
            <w:vAlign w:val="bottom"/>
            <w:tcBorders>
              <w:bottom w:val="single" w:sz="8" w:color="auto"/>
              <w:right w:val="single" w:sz="8" w:color="auto"/>
            </w:tcBorders>
          </w:tcPr>
          <w:p>
            <w:pPr>
              <w:ind w:left="640"/>
              <w:spacing w:after="0" w:line="127" w:lineRule="exact"/>
              <w:rPr>
                <w:sz w:val="20"/>
                <w:szCs w:val="20"/>
                <w:color w:val="auto"/>
              </w:rPr>
            </w:pPr>
            <w:r>
              <w:rPr>
                <w:rFonts w:ascii="Calibri" w:cs="Calibri" w:eastAsia="Calibri" w:hAnsi="Calibri"/>
                <w:sz w:val="11"/>
                <w:szCs w:val="11"/>
                <w:color w:val="auto"/>
              </w:rPr>
              <w:t>N (%)</w:t>
            </w:r>
          </w:p>
        </w:tc>
        <w:tc>
          <w:tcPr>
            <w:tcW w:w="460" w:type="dxa"/>
            <w:vAlign w:val="bottom"/>
            <w:tcBorders>
              <w:bottom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0</w:t>
            </w:r>
          </w:p>
        </w:tc>
        <w:tc>
          <w:tcPr>
            <w:tcW w:w="740" w:type="dxa"/>
            <w:vAlign w:val="bottom"/>
            <w:tcBorders>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(0.0%)</w:t>
            </w:r>
          </w:p>
        </w:tc>
        <w:tc>
          <w:tcPr>
            <w:tcW w:w="480" w:type="dxa"/>
            <w:vAlign w:val="bottom"/>
            <w:tcBorders>
              <w:bottom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0</w:t>
            </w:r>
          </w:p>
        </w:tc>
        <w:tc>
          <w:tcPr>
            <w:tcW w:w="720" w:type="dxa"/>
            <w:vAlign w:val="bottom"/>
            <w:tcBorders>
              <w:bottom w:val="single" w:sz="8" w:color="auto"/>
              <w:right w:val="single" w:sz="8" w:color="auto"/>
            </w:tcBorders>
          </w:tcPr>
          <w:p>
            <w:pPr>
              <w:spacing w:after="0" w:line="127" w:lineRule="exact"/>
              <w:rPr>
                <w:sz w:val="20"/>
                <w:szCs w:val="20"/>
                <w:color w:val="auto"/>
              </w:rPr>
            </w:pPr>
            <w:r>
              <w:rPr>
                <w:rFonts w:ascii="Calibri" w:cs="Calibri" w:eastAsia="Calibri" w:hAnsi="Calibri"/>
                <w:sz w:val="11"/>
                <w:szCs w:val="11"/>
                <w:color w:val="auto"/>
              </w:rPr>
              <w:t>(0.0%)</w:t>
            </w:r>
          </w:p>
        </w:tc>
        <w:tc>
          <w:tcPr>
            <w:tcW w:w="460" w:type="dxa"/>
            <w:vAlign w:val="bottom"/>
            <w:tcBorders>
              <w:bottom w:val="single" w:sz="8" w:color="auto"/>
            </w:tcBorders>
          </w:tcPr>
          <w:p>
            <w:pPr>
              <w:jc w:val="right"/>
              <w:spacing w:after="0" w:line="127" w:lineRule="exact"/>
              <w:rPr>
                <w:sz w:val="20"/>
                <w:szCs w:val="20"/>
                <w:color w:val="auto"/>
              </w:rPr>
            </w:pPr>
            <w:r>
              <w:rPr>
                <w:rFonts w:ascii="Calibri" w:cs="Calibri" w:eastAsia="Calibri" w:hAnsi="Calibri"/>
                <w:sz w:val="11"/>
                <w:szCs w:val="11"/>
                <w:color w:val="auto"/>
              </w:rPr>
              <w:t>0</w:t>
            </w:r>
          </w:p>
        </w:tc>
        <w:tc>
          <w:tcPr>
            <w:tcW w:w="740" w:type="dxa"/>
            <w:vAlign w:val="bottom"/>
            <w:tcBorders>
              <w:bottom w:val="single" w:sz="8" w:color="auto"/>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(0.0%)</w:t>
            </w:r>
          </w:p>
        </w:tc>
        <w:tc>
          <w:tcPr>
            <w:tcW w:w="1180" w:type="dxa"/>
            <w:vAlign w:val="bottom"/>
            <w:tcBorders>
              <w:bottom w:val="single" w:sz="8" w:color="auto"/>
              <w:right w:val="single" w:sz="8" w:color="auto"/>
            </w:tcBorders>
            <w:gridSpan w:val="2"/>
          </w:tcPr>
          <w:p>
            <w:pPr>
              <w:jc w:val="center"/>
              <w:ind w:right="326"/>
              <w:spacing w:after="0" w:line="169" w:lineRule="exact"/>
              <w:rPr>
                <w:sz w:val="20"/>
                <w:szCs w:val="20"/>
                <w:color w:val="auto"/>
              </w:rPr>
            </w:pPr>
            <w:r>
              <w:rPr>
                <w:rFonts w:ascii="Calibri" w:cs="Calibri" w:eastAsia="Calibri" w:hAnsi="Calibri"/>
                <w:sz w:val="11"/>
                <w:szCs w:val="11"/>
                <w:color w:val="auto"/>
              </w:rPr>
              <w:t>1 (1.0%)</w:t>
            </w:r>
            <w:r>
              <w:rPr>
                <w:rFonts w:ascii="Calibri" w:cs="Calibri" w:eastAsia="Calibri" w:hAnsi="Calibri"/>
                <w:sz w:val="16"/>
                <w:szCs w:val="16"/>
                <w:color w:val="auto"/>
                <w:vertAlign w:val="superscript"/>
              </w:rPr>
              <w:t>4</w:t>
            </w: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All AEs leading to discontnuaton</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6</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(6.2%)</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5</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(5.1%)</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19</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(19.2%)</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19</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(19.6%)</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Drug-related AEs leading to discontnuaton</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2</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(2.1%)</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4</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(4.1%)</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16</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(16.2%)</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15</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(15.5%)</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tcBorders>
          </w:tcPr>
          <w:p>
            <w:pPr>
              <w:ind w:left="80"/>
              <w:spacing w:after="0" w:line="123" w:lineRule="exact"/>
              <w:rPr>
                <w:sz w:val="20"/>
                <w:szCs w:val="20"/>
                <w:color w:val="auto"/>
              </w:rPr>
            </w:pPr>
            <w:r>
              <w:rPr>
                <w:rFonts w:ascii="Calibri" w:cs="Calibri" w:eastAsia="Calibri" w:hAnsi="Calibri"/>
                <w:sz w:val="11"/>
                <w:szCs w:val="11"/>
                <w:b w:val="1"/>
                <w:bCs w:val="1"/>
                <w:color w:val="auto"/>
              </w:rPr>
              <w:t>Gastrointestnal AEs—mainly mild to moderate</w:t>
            </w: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Nausea</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11</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(11.3%)</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25</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(25.5%)</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59</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(59.6%)</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50</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(51.5%)</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Vomitng</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3</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(3.1%)</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6</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(6.1%)</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27</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(27.3%)</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27</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(27.8%)</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Diarrhea</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5</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(5.2%)</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8</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(8.2%)</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10</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(10.1%)</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18</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(18.6%)</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Constpaton</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8</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(8.2%)</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17</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(17.3%)</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13</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(13.1%)</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22</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(22.7%)</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Major Adverse Cardiac Events (MACE)</w:t>
            </w:r>
          </w:p>
        </w:tc>
        <w:tc>
          <w:tcPr>
            <w:tcW w:w="1540" w:type="dxa"/>
            <w:vAlign w:val="bottom"/>
            <w:tcBorders>
              <w:right w:val="single" w:sz="8" w:color="auto"/>
            </w:tcBorders>
          </w:tcPr>
          <w:p>
            <w:pPr>
              <w:ind w:left="640"/>
              <w:spacing w:after="0" w:line="123"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0</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(0.0%)</w:t>
            </w:r>
          </w:p>
        </w:tc>
        <w:tc>
          <w:tcPr>
            <w:tcW w:w="480" w:type="dxa"/>
            <w:vAlign w:val="bottom"/>
          </w:tcPr>
          <w:p>
            <w:pPr>
              <w:jc w:val="right"/>
              <w:spacing w:after="0" w:line="123" w:lineRule="exact"/>
              <w:rPr>
                <w:sz w:val="20"/>
                <w:szCs w:val="20"/>
                <w:color w:val="auto"/>
              </w:rPr>
            </w:pPr>
            <w:r>
              <w:rPr>
                <w:rFonts w:ascii="Calibri" w:cs="Calibri" w:eastAsia="Calibri" w:hAnsi="Calibri"/>
                <w:sz w:val="11"/>
                <w:szCs w:val="11"/>
                <w:color w:val="auto"/>
              </w:rPr>
              <w:t>0</w:t>
            </w:r>
          </w:p>
        </w:tc>
        <w:tc>
          <w:tcPr>
            <w:tcW w:w="720" w:type="dxa"/>
            <w:vAlign w:val="bottom"/>
            <w:tcBorders>
              <w:right w:val="single" w:sz="8" w:color="auto"/>
            </w:tcBorders>
          </w:tcPr>
          <w:p>
            <w:pPr>
              <w:spacing w:after="0" w:line="123" w:lineRule="exact"/>
              <w:rPr>
                <w:sz w:val="20"/>
                <w:szCs w:val="20"/>
                <w:color w:val="auto"/>
              </w:rPr>
            </w:pPr>
            <w:r>
              <w:rPr>
                <w:rFonts w:ascii="Calibri" w:cs="Calibri" w:eastAsia="Calibri" w:hAnsi="Calibri"/>
                <w:sz w:val="11"/>
                <w:szCs w:val="11"/>
                <w:color w:val="auto"/>
              </w:rPr>
              <w:t>(0.0%)</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0</w:t>
            </w:r>
          </w:p>
        </w:tc>
        <w:tc>
          <w:tcPr>
            <w:tcW w:w="74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(0.0%)</w:t>
            </w:r>
          </w:p>
        </w:tc>
        <w:tc>
          <w:tcPr>
            <w:tcW w:w="460" w:type="dxa"/>
            <w:vAlign w:val="bottom"/>
          </w:tcPr>
          <w:p>
            <w:pPr>
              <w:jc w:val="right"/>
              <w:spacing w:after="0" w:line="123" w:lineRule="exact"/>
              <w:rPr>
                <w:sz w:val="20"/>
                <w:szCs w:val="20"/>
                <w:color w:val="auto"/>
              </w:rPr>
            </w:pPr>
            <w:r>
              <w:rPr>
                <w:rFonts w:ascii="Calibri" w:cs="Calibri" w:eastAsia="Calibri" w:hAnsi="Calibri"/>
                <w:sz w:val="11"/>
                <w:szCs w:val="11"/>
                <w:color w:val="auto"/>
              </w:rPr>
              <w:t>0</w:t>
            </w:r>
          </w:p>
        </w:tc>
        <w:tc>
          <w:tcPr>
            <w:tcW w:w="720" w:type="dxa"/>
            <w:vAlign w:val="bottom"/>
            <w:tcBorders>
              <w:right w:val="single" w:sz="8" w:color="auto"/>
            </w:tcBorders>
          </w:tcPr>
          <w:p>
            <w:pPr>
              <w:ind w:left="20"/>
              <w:spacing w:after="0" w:line="123" w:lineRule="exact"/>
              <w:rPr>
                <w:sz w:val="20"/>
                <w:szCs w:val="20"/>
                <w:color w:val="auto"/>
              </w:rPr>
            </w:pPr>
            <w:r>
              <w:rPr>
                <w:rFonts w:ascii="Calibri" w:cs="Calibri" w:eastAsia="Calibri" w:hAnsi="Calibri"/>
                <w:sz w:val="11"/>
                <w:szCs w:val="11"/>
                <w:color w:val="auto"/>
              </w:rPr>
              <w:t>(0.0%)</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340" w:type="dxa"/>
            <w:vAlign w:val="bottom"/>
            <w:tcBorders>
              <w:left w:val="single" w:sz="8" w:color="auto"/>
              <w:right w:val="single" w:sz="8" w:color="auto"/>
            </w:tcBorders>
          </w:tcPr>
          <w:p>
            <w:pPr>
              <w:ind w:left="80"/>
              <w:spacing w:after="0" w:line="132" w:lineRule="exact"/>
              <w:rPr>
                <w:sz w:val="20"/>
                <w:szCs w:val="20"/>
                <w:color w:val="auto"/>
              </w:rPr>
            </w:pPr>
            <w:r>
              <w:rPr>
                <w:rFonts w:ascii="Calibri" w:cs="Calibri" w:eastAsia="Calibri" w:hAnsi="Calibri"/>
                <w:sz w:val="11"/>
                <w:szCs w:val="11"/>
                <w:color w:val="auto"/>
              </w:rPr>
              <w:t>Cardiac AEs including arrhythmias</w:t>
            </w:r>
          </w:p>
        </w:tc>
        <w:tc>
          <w:tcPr>
            <w:tcW w:w="1540" w:type="dxa"/>
            <w:vAlign w:val="bottom"/>
            <w:tcBorders>
              <w:right w:val="single" w:sz="8" w:color="auto"/>
            </w:tcBorders>
          </w:tcPr>
          <w:p>
            <w:pPr>
              <w:ind w:left="640"/>
              <w:spacing w:after="0" w:line="127" w:lineRule="exact"/>
              <w:rPr>
                <w:sz w:val="20"/>
                <w:szCs w:val="20"/>
                <w:color w:val="auto"/>
              </w:rPr>
            </w:pPr>
            <w:r>
              <w:rPr>
                <w:rFonts w:ascii="Calibri" w:cs="Calibri" w:eastAsia="Calibri" w:hAnsi="Calibri"/>
                <w:sz w:val="11"/>
                <w:szCs w:val="11"/>
                <w:color w:val="auto"/>
              </w:rPr>
              <w:t>N (%)</w:t>
            </w:r>
          </w:p>
        </w:tc>
        <w:tc>
          <w:tcPr>
            <w:tcW w:w="460" w:type="dxa"/>
            <w:vAlign w:val="bottom"/>
          </w:tcPr>
          <w:p>
            <w:pPr>
              <w:jc w:val="right"/>
              <w:spacing w:after="0" w:line="127" w:lineRule="exact"/>
              <w:rPr>
                <w:sz w:val="20"/>
                <w:szCs w:val="20"/>
                <w:color w:val="auto"/>
              </w:rPr>
            </w:pPr>
            <w:r>
              <w:rPr>
                <w:rFonts w:ascii="Calibri" w:cs="Calibri" w:eastAsia="Calibri" w:hAnsi="Calibri"/>
                <w:sz w:val="11"/>
                <w:szCs w:val="11"/>
                <w:color w:val="auto"/>
              </w:rPr>
              <w:t>4</w:t>
            </w:r>
          </w:p>
        </w:tc>
        <w:tc>
          <w:tcPr>
            <w:tcW w:w="740" w:type="dxa"/>
            <w:vAlign w:val="bottom"/>
            <w:tcBorders>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(4.1%)</w:t>
            </w:r>
          </w:p>
        </w:tc>
        <w:tc>
          <w:tcPr>
            <w:tcW w:w="480" w:type="dxa"/>
            <w:vAlign w:val="bottom"/>
          </w:tcPr>
          <w:p>
            <w:pPr>
              <w:jc w:val="right"/>
              <w:spacing w:after="0" w:line="127" w:lineRule="exact"/>
              <w:rPr>
                <w:sz w:val="20"/>
                <w:szCs w:val="20"/>
                <w:color w:val="auto"/>
              </w:rPr>
            </w:pPr>
            <w:r>
              <w:rPr>
                <w:rFonts w:ascii="Calibri" w:cs="Calibri" w:eastAsia="Calibri" w:hAnsi="Calibri"/>
                <w:sz w:val="11"/>
                <w:szCs w:val="11"/>
                <w:color w:val="auto"/>
              </w:rPr>
              <w:t>3</w:t>
            </w:r>
          </w:p>
        </w:tc>
        <w:tc>
          <w:tcPr>
            <w:tcW w:w="720" w:type="dxa"/>
            <w:vAlign w:val="bottom"/>
            <w:tcBorders>
              <w:right w:val="single" w:sz="8" w:color="auto"/>
            </w:tcBorders>
          </w:tcPr>
          <w:p>
            <w:pPr>
              <w:spacing w:after="0" w:line="127" w:lineRule="exact"/>
              <w:rPr>
                <w:sz w:val="20"/>
                <w:szCs w:val="20"/>
                <w:color w:val="auto"/>
              </w:rPr>
            </w:pPr>
            <w:r>
              <w:rPr>
                <w:rFonts w:ascii="Calibri" w:cs="Calibri" w:eastAsia="Calibri" w:hAnsi="Calibri"/>
                <w:sz w:val="11"/>
                <w:szCs w:val="11"/>
                <w:color w:val="auto"/>
              </w:rPr>
              <w:t>(3.1%)</w:t>
            </w:r>
          </w:p>
        </w:tc>
        <w:tc>
          <w:tcPr>
            <w:tcW w:w="460" w:type="dxa"/>
            <w:vAlign w:val="bottom"/>
          </w:tcPr>
          <w:p>
            <w:pPr>
              <w:jc w:val="right"/>
              <w:spacing w:after="0" w:line="127" w:lineRule="exact"/>
              <w:rPr>
                <w:sz w:val="20"/>
                <w:szCs w:val="20"/>
                <w:color w:val="auto"/>
              </w:rPr>
            </w:pPr>
            <w:r>
              <w:rPr>
                <w:rFonts w:ascii="Calibri" w:cs="Calibri" w:eastAsia="Calibri" w:hAnsi="Calibri"/>
                <w:sz w:val="11"/>
                <w:szCs w:val="11"/>
                <w:color w:val="auto"/>
              </w:rPr>
              <w:t>4</w:t>
            </w:r>
          </w:p>
        </w:tc>
        <w:tc>
          <w:tcPr>
            <w:tcW w:w="740" w:type="dxa"/>
            <w:vAlign w:val="bottom"/>
            <w:tcBorders>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(4.0%)</w:t>
            </w:r>
          </w:p>
        </w:tc>
        <w:tc>
          <w:tcPr>
            <w:tcW w:w="460" w:type="dxa"/>
            <w:vAlign w:val="bottom"/>
          </w:tcPr>
          <w:p>
            <w:pPr>
              <w:jc w:val="right"/>
              <w:spacing w:after="0" w:line="127" w:lineRule="exact"/>
              <w:rPr>
                <w:sz w:val="20"/>
                <w:szCs w:val="20"/>
                <w:color w:val="auto"/>
              </w:rPr>
            </w:pPr>
            <w:r>
              <w:rPr>
                <w:rFonts w:ascii="Calibri" w:cs="Calibri" w:eastAsia="Calibri" w:hAnsi="Calibri"/>
                <w:sz w:val="11"/>
                <w:szCs w:val="11"/>
                <w:color w:val="auto"/>
              </w:rPr>
              <w:t>3</w:t>
            </w:r>
          </w:p>
        </w:tc>
        <w:tc>
          <w:tcPr>
            <w:tcW w:w="720" w:type="dxa"/>
            <w:vAlign w:val="bottom"/>
            <w:tcBorders>
              <w:right w:val="single" w:sz="8" w:color="auto"/>
            </w:tcBorders>
          </w:tcPr>
          <w:p>
            <w:pPr>
              <w:ind w:left="20"/>
              <w:spacing w:after="0" w:line="127" w:lineRule="exact"/>
              <w:rPr>
                <w:sz w:val="20"/>
                <w:szCs w:val="20"/>
                <w:color w:val="auto"/>
              </w:rPr>
            </w:pPr>
            <w:r>
              <w:rPr>
                <w:rFonts w:ascii="Calibri" w:cs="Calibri" w:eastAsia="Calibri" w:hAnsi="Calibri"/>
                <w:sz w:val="11"/>
                <w:szCs w:val="11"/>
                <w:color w:val="auto"/>
              </w:rPr>
              <w:t>(3.1%)</w:t>
            </w:r>
          </w:p>
        </w:tc>
        <w:tc>
          <w:tcPr>
            <w:tcW w:w="0" w:type="dxa"/>
            <w:vAlign w:val="bottom"/>
          </w:tcPr>
          <w:p>
            <w:pPr>
              <w:spacing w:after="0"/>
              <w:rPr>
                <w:sz w:val="1"/>
                <w:szCs w:val="1"/>
                <w:color w:val="auto"/>
              </w:rPr>
            </w:pPr>
          </w:p>
        </w:tc>
      </w:tr>
      <w:tr>
        <w:trPr>
          <w:trHeight w:val="37"/>
        </w:trPr>
        <w:tc>
          <w:tcPr>
            <w:tcW w:w="2340" w:type="dxa"/>
            <w:vAlign w:val="bottom"/>
            <w:tcBorders>
              <w:left w:val="single" w:sz="8" w:color="auto"/>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20"/>
                <w:szCs w:val="20"/>
                <w:color w:val="auto"/>
              </w:rPr>
            </w:pPr>
            <w:r>
              <w:rPr>
                <w:rFonts w:ascii="Calibri" w:cs="Calibri" w:eastAsia="Calibri" w:hAnsi="Calibri"/>
                <w:sz w:val="14"/>
                <w:szCs w:val="14"/>
                <w:color w:val="auto"/>
                <w:vertAlign w:val="superscript"/>
              </w:rPr>
              <w:t>4</w:t>
            </w:r>
            <w:r>
              <w:rPr>
                <w:rFonts w:ascii="Calibri" w:cs="Calibri" w:eastAsia="Calibri" w:hAnsi="Calibri"/>
                <w:sz w:val="10"/>
                <w:szCs w:val="10"/>
                <w:color w:val="auto"/>
              </w:rPr>
              <w:t xml:space="preserve"> Vomitng</w:t>
            </w: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tbl>
      <w:tblPr>
        <w:tblLayout w:type="fixed"/>
        <w:tblInd w:w="190" w:type="dxa"/>
        <w:tblCellMar>
          <w:top w:w="0" w:type="dxa"/>
          <w:left w:w="0" w:type="dxa"/>
          <w:bottom w:w="0" w:type="dxa"/>
          <w:right w:w="0" w:type="dxa"/>
        </w:tblCellMar>
      </w:tblPr>
      <w:tr>
        <w:trPr>
          <w:trHeight w:val="136"/>
        </w:trPr>
        <w:tc>
          <w:tcPr>
            <w:tcW w:w="2340" w:type="dxa"/>
            <w:vAlign w:val="bottom"/>
            <w:tcBorders>
              <w:top w:val="single" w:sz="8" w:color="auto"/>
              <w:left w:val="single" w:sz="8" w:color="auto"/>
            </w:tcBorders>
            <w:vMerge w:val="restart"/>
          </w:tcPr>
          <w:p>
            <w:pPr>
              <w:ind w:left="80"/>
              <w:spacing w:after="0"/>
              <w:rPr>
                <w:sz w:val="20"/>
                <w:szCs w:val="20"/>
                <w:color w:val="auto"/>
              </w:rPr>
            </w:pPr>
            <w:r>
              <w:rPr>
                <w:rFonts w:ascii="Calibri" w:cs="Calibri" w:eastAsia="Calibri" w:hAnsi="Calibri"/>
                <w:sz w:val="11"/>
                <w:szCs w:val="11"/>
                <w:b w:val="1"/>
                <w:bCs w:val="1"/>
                <w:color w:val="auto"/>
              </w:rPr>
              <w:t>Summary of Glycemic Control</w:t>
            </w:r>
          </w:p>
        </w:tc>
        <w:tc>
          <w:tcPr>
            <w:tcW w:w="156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ind w:left="380"/>
              <w:spacing w:after="0"/>
              <w:rPr>
                <w:sz w:val="20"/>
                <w:szCs w:val="20"/>
                <w:color w:val="auto"/>
              </w:rPr>
            </w:pPr>
            <w:r>
              <w:rPr>
                <w:rFonts w:ascii="Calibri" w:cs="Calibri" w:eastAsia="Calibri" w:hAnsi="Calibri"/>
                <w:sz w:val="11"/>
                <w:szCs w:val="11"/>
                <w:b w:val="1"/>
                <w:bCs w:val="1"/>
                <w:color w:val="auto"/>
              </w:rPr>
              <w:t>Placebo</w:t>
            </w:r>
          </w:p>
        </w:tc>
        <w:tc>
          <w:tcPr>
            <w:tcW w:w="118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1.2 mg</w:t>
            </w:r>
          </w:p>
        </w:tc>
        <w:tc>
          <w:tcPr>
            <w:tcW w:w="120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1.8 mg</w:t>
            </w:r>
          </w:p>
        </w:tc>
        <w:tc>
          <w:tcPr>
            <w:tcW w:w="1180" w:type="dxa"/>
            <w:vAlign w:val="bottom"/>
            <w:tcBorders>
              <w:top w:val="single" w:sz="8" w:color="auto"/>
              <w:right w:val="single" w:sz="8" w:color="auto"/>
            </w:tcBorders>
          </w:tcPr>
          <w:p>
            <w:pPr>
              <w:ind w:left="420"/>
              <w:spacing w:after="0"/>
              <w:rPr>
                <w:sz w:val="20"/>
                <w:szCs w:val="20"/>
                <w:color w:val="auto"/>
              </w:rPr>
            </w:pPr>
            <w:r>
              <w:rPr>
                <w:rFonts w:ascii="Calibri" w:cs="Calibri" w:eastAsia="Calibri" w:hAnsi="Calibri"/>
                <w:sz w:val="11"/>
                <w:szCs w:val="11"/>
                <w:b w:val="1"/>
                <w:bCs w:val="1"/>
                <w:color w:val="auto"/>
              </w:rPr>
              <w:t>2.4 mg</w:t>
            </w:r>
          </w:p>
        </w:tc>
        <w:tc>
          <w:tcPr>
            <w:tcW w:w="0" w:type="dxa"/>
            <w:vAlign w:val="bottom"/>
          </w:tcPr>
          <w:p>
            <w:pPr>
              <w:spacing w:after="0"/>
              <w:rPr>
                <w:sz w:val="1"/>
                <w:szCs w:val="1"/>
                <w:color w:val="auto"/>
              </w:rPr>
            </w:pPr>
          </w:p>
        </w:tc>
      </w:tr>
      <w:tr>
        <w:trPr>
          <w:trHeight w:val="61"/>
        </w:trPr>
        <w:tc>
          <w:tcPr>
            <w:tcW w:w="2340" w:type="dxa"/>
            <w:vAlign w:val="bottom"/>
            <w:tcBorders>
              <w:left w:val="single" w:sz="8" w:color="auto"/>
            </w:tcBorders>
            <w:vMerge w:val="continue"/>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vMerge w:val="restart"/>
          </w:tcPr>
          <w:p>
            <w:pPr>
              <w:jc w:val="center"/>
              <w:ind w:right="6"/>
              <w:spacing w:after="0"/>
              <w:rPr>
                <w:sz w:val="20"/>
                <w:szCs w:val="20"/>
                <w:color w:val="auto"/>
              </w:rPr>
            </w:pPr>
            <w:r>
              <w:rPr>
                <w:rFonts w:ascii="Calibri" w:cs="Calibri" w:eastAsia="Calibri" w:hAnsi="Calibri"/>
                <w:sz w:val="11"/>
                <w:szCs w:val="11"/>
                <w:b w:val="1"/>
                <w:bCs w:val="1"/>
                <w:color w:val="auto"/>
                <w:w w:val="97"/>
              </w:rPr>
              <w:t>(N=50)</w:t>
            </w:r>
          </w:p>
        </w:tc>
        <w:tc>
          <w:tcPr>
            <w:tcW w:w="11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(N=68)</w:t>
            </w:r>
          </w:p>
        </w:tc>
        <w:tc>
          <w:tcPr>
            <w:tcW w:w="12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rPr>
              <w:t>(N=58)</w:t>
            </w:r>
          </w:p>
        </w:tc>
        <w:tc>
          <w:tcPr>
            <w:tcW w:w="11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b w:val="1"/>
                <w:bCs w:val="1"/>
                <w:color w:val="auto"/>
                <w:w w:val="97"/>
              </w:rPr>
              <w:t>(N=55)</w:t>
            </w:r>
          </w:p>
        </w:tc>
        <w:tc>
          <w:tcPr>
            <w:tcW w:w="0" w:type="dxa"/>
            <w:vAlign w:val="bottom"/>
          </w:tcPr>
          <w:p>
            <w:pPr>
              <w:spacing w:after="0"/>
              <w:rPr>
                <w:sz w:val="1"/>
                <w:szCs w:val="1"/>
                <w:color w:val="auto"/>
              </w:rPr>
            </w:pPr>
          </w:p>
        </w:tc>
      </w:tr>
      <w:tr>
        <w:trPr>
          <w:trHeight w:val="81"/>
        </w:trPr>
        <w:tc>
          <w:tcPr>
            <w:tcW w:w="2340" w:type="dxa"/>
            <w:vAlign w:val="bottom"/>
            <w:tcBorders>
              <w:lef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40" w:type="dxa"/>
            <w:vAlign w:val="bottom"/>
            <w:tcBorders>
              <w:left w:val="single" w:sz="8" w:color="auto"/>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Fastng glucose</w:t>
            </w:r>
          </w:p>
        </w:tc>
        <w:tc>
          <w:tcPr>
            <w:tcW w:w="1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120"/>
              <w:spacing w:after="0" w:line="123" w:lineRule="exact"/>
              <w:rPr>
                <w:sz w:val="20"/>
                <w:szCs w:val="20"/>
                <w:color w:val="auto"/>
              </w:rPr>
            </w:pPr>
            <w:r>
              <w:rPr>
                <w:rFonts w:ascii="Calibri" w:cs="Calibri" w:eastAsia="Calibri" w:hAnsi="Calibri"/>
                <w:sz w:val="11"/>
                <w:szCs w:val="11"/>
                <w:color w:val="auto"/>
              </w:rPr>
              <w:t>Baseline, mg/dL</w:t>
            </w:r>
          </w:p>
        </w:tc>
        <w:tc>
          <w:tcPr>
            <w:tcW w:w="1560" w:type="dxa"/>
            <w:vAlign w:val="bottom"/>
            <w:tcBorders>
              <w:right w:val="single" w:sz="8" w:color="auto"/>
            </w:tcBorders>
          </w:tcPr>
          <w:p>
            <w:pPr>
              <w:ind w:left="520"/>
              <w:spacing w:after="0" w:line="123" w:lineRule="exact"/>
              <w:rPr>
                <w:sz w:val="20"/>
                <w:szCs w:val="20"/>
                <w:color w:val="auto"/>
              </w:rPr>
            </w:pPr>
            <w:r>
              <w:rPr>
                <w:rFonts w:ascii="Calibri" w:cs="Calibri" w:eastAsia="Calibri" w:hAnsi="Calibri"/>
                <w:sz w:val="11"/>
                <w:szCs w:val="11"/>
                <w:color w:val="auto"/>
              </w:rPr>
              <w:t>mean (SE)</w:t>
            </w:r>
          </w:p>
        </w:tc>
        <w:tc>
          <w:tcPr>
            <w:tcW w:w="1200" w:type="dxa"/>
            <w:vAlign w:val="bottom"/>
            <w:tcBorders>
              <w:right w:val="single" w:sz="8" w:color="auto"/>
            </w:tcBorders>
          </w:tcPr>
          <w:p>
            <w:pPr>
              <w:jc w:val="center"/>
              <w:ind w:right="6"/>
              <w:spacing w:after="0" w:line="123" w:lineRule="exact"/>
              <w:rPr>
                <w:sz w:val="20"/>
                <w:szCs w:val="20"/>
                <w:color w:val="auto"/>
              </w:rPr>
            </w:pPr>
            <w:r>
              <w:rPr>
                <w:rFonts w:ascii="Calibri" w:cs="Calibri" w:eastAsia="Calibri" w:hAnsi="Calibri"/>
                <w:sz w:val="11"/>
                <w:szCs w:val="11"/>
                <w:color w:val="auto"/>
                <w:w w:val="98"/>
              </w:rPr>
              <w:t>95.5 (1.5)</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8"/>
              </w:rPr>
              <w:t>99.4 (1.4)</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9"/>
              </w:rPr>
              <w:t>101.6 (1.4)</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5"/>
              </w:rPr>
              <w:t>101.5 (1.6)</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120"/>
              <w:spacing w:after="0" w:line="123" w:lineRule="exact"/>
              <w:rPr>
                <w:sz w:val="20"/>
                <w:szCs w:val="20"/>
                <w:color w:val="auto"/>
              </w:rPr>
            </w:pPr>
            <w:r>
              <w:rPr>
                <w:rFonts w:ascii="Calibri" w:cs="Calibri" w:eastAsia="Calibri" w:hAnsi="Calibri"/>
                <w:sz w:val="11"/>
                <w:szCs w:val="11"/>
                <w:color w:val="auto"/>
              </w:rPr>
              <w:t>Week 48, mg/dL</w:t>
            </w:r>
          </w:p>
        </w:tc>
        <w:tc>
          <w:tcPr>
            <w:tcW w:w="1560" w:type="dxa"/>
            <w:vAlign w:val="bottom"/>
            <w:tcBorders>
              <w:right w:val="single" w:sz="8" w:color="auto"/>
            </w:tcBorders>
          </w:tcPr>
          <w:p>
            <w:pPr>
              <w:ind w:left="520"/>
              <w:spacing w:after="0" w:line="123" w:lineRule="exact"/>
              <w:rPr>
                <w:sz w:val="20"/>
                <w:szCs w:val="20"/>
                <w:color w:val="auto"/>
              </w:rPr>
            </w:pPr>
            <w:r>
              <w:rPr>
                <w:rFonts w:ascii="Calibri" w:cs="Calibri" w:eastAsia="Calibri" w:hAnsi="Calibri"/>
                <w:sz w:val="11"/>
                <w:szCs w:val="11"/>
                <w:color w:val="auto"/>
              </w:rPr>
              <w:t>mean (SE)</w:t>
            </w:r>
          </w:p>
        </w:tc>
        <w:tc>
          <w:tcPr>
            <w:tcW w:w="1200" w:type="dxa"/>
            <w:vAlign w:val="bottom"/>
            <w:tcBorders>
              <w:right w:val="single" w:sz="8" w:color="auto"/>
            </w:tcBorders>
          </w:tcPr>
          <w:p>
            <w:pPr>
              <w:jc w:val="center"/>
              <w:ind w:right="6"/>
              <w:spacing w:after="0" w:line="123" w:lineRule="exact"/>
              <w:rPr>
                <w:sz w:val="20"/>
                <w:szCs w:val="20"/>
                <w:color w:val="auto"/>
              </w:rPr>
            </w:pPr>
            <w:r>
              <w:rPr>
                <w:rFonts w:ascii="Calibri" w:cs="Calibri" w:eastAsia="Calibri" w:hAnsi="Calibri"/>
                <w:sz w:val="11"/>
                <w:szCs w:val="11"/>
                <w:color w:val="auto"/>
                <w:w w:val="98"/>
              </w:rPr>
              <w:t>95.2 (1.5)</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8"/>
              </w:rPr>
              <w:t>98.6 (1.7)</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9"/>
              </w:rPr>
              <w:t>100.6 (1.6)</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8"/>
              </w:rPr>
              <w:t>99.4 (2.0)</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tcBorders>
          </w:tcPr>
          <w:p>
            <w:pPr>
              <w:ind w:left="80"/>
              <w:spacing w:after="0" w:line="123" w:lineRule="exact"/>
              <w:rPr>
                <w:sz w:val="20"/>
                <w:szCs w:val="20"/>
                <w:color w:val="auto"/>
              </w:rPr>
            </w:pPr>
            <w:r>
              <w:rPr>
                <w:rFonts w:ascii="Calibri" w:cs="Calibri" w:eastAsia="Calibri" w:hAnsi="Calibri"/>
                <w:sz w:val="11"/>
                <w:szCs w:val="11"/>
                <w:color w:val="auto"/>
              </w:rPr>
              <w:t>HbA1c</w:t>
            </w:r>
          </w:p>
        </w:tc>
        <w:tc>
          <w:tcPr>
            <w:tcW w:w="15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120"/>
              <w:spacing w:after="0" w:line="123" w:lineRule="exact"/>
              <w:rPr>
                <w:sz w:val="20"/>
                <w:szCs w:val="20"/>
                <w:color w:val="auto"/>
              </w:rPr>
            </w:pPr>
            <w:r>
              <w:rPr>
                <w:rFonts w:ascii="Calibri" w:cs="Calibri" w:eastAsia="Calibri" w:hAnsi="Calibri"/>
                <w:sz w:val="11"/>
                <w:szCs w:val="11"/>
                <w:color w:val="auto"/>
              </w:rPr>
              <w:t>Baseline, %</w:t>
            </w:r>
          </w:p>
        </w:tc>
        <w:tc>
          <w:tcPr>
            <w:tcW w:w="1560" w:type="dxa"/>
            <w:vAlign w:val="bottom"/>
            <w:tcBorders>
              <w:right w:val="single" w:sz="8" w:color="auto"/>
            </w:tcBorders>
          </w:tcPr>
          <w:p>
            <w:pPr>
              <w:ind w:left="520"/>
              <w:spacing w:after="0" w:line="123" w:lineRule="exact"/>
              <w:rPr>
                <w:sz w:val="20"/>
                <w:szCs w:val="20"/>
                <w:color w:val="auto"/>
              </w:rPr>
            </w:pPr>
            <w:r>
              <w:rPr>
                <w:rFonts w:ascii="Calibri" w:cs="Calibri" w:eastAsia="Calibri" w:hAnsi="Calibri"/>
                <w:sz w:val="11"/>
                <w:szCs w:val="11"/>
                <w:color w:val="auto"/>
              </w:rPr>
              <w:t>mean (SE)</w:t>
            </w:r>
          </w:p>
        </w:tc>
        <w:tc>
          <w:tcPr>
            <w:tcW w:w="1200" w:type="dxa"/>
            <w:vAlign w:val="bottom"/>
            <w:tcBorders>
              <w:right w:val="single" w:sz="8" w:color="auto"/>
            </w:tcBorders>
          </w:tcPr>
          <w:p>
            <w:pPr>
              <w:jc w:val="center"/>
              <w:ind w:right="26"/>
              <w:spacing w:after="0" w:line="123" w:lineRule="exact"/>
              <w:rPr>
                <w:sz w:val="20"/>
                <w:szCs w:val="20"/>
                <w:color w:val="auto"/>
              </w:rPr>
            </w:pPr>
            <w:r>
              <w:rPr>
                <w:rFonts w:ascii="Calibri" w:cs="Calibri" w:eastAsia="Calibri" w:hAnsi="Calibri"/>
                <w:sz w:val="11"/>
                <w:szCs w:val="11"/>
                <w:color w:val="auto"/>
                <w:w w:val="97"/>
              </w:rPr>
              <w:t>5.6 (0.0)</w:t>
            </w:r>
          </w:p>
        </w:tc>
        <w:tc>
          <w:tcPr>
            <w:tcW w:w="1180" w:type="dxa"/>
            <w:vAlign w:val="bottom"/>
            <w:tcBorders>
              <w:right w:val="single" w:sz="8" w:color="auto"/>
            </w:tcBorders>
          </w:tcPr>
          <w:p>
            <w:pPr>
              <w:jc w:val="center"/>
              <w:ind w:right="6"/>
              <w:spacing w:after="0" w:line="123" w:lineRule="exact"/>
              <w:rPr>
                <w:sz w:val="20"/>
                <w:szCs w:val="20"/>
                <w:color w:val="auto"/>
              </w:rPr>
            </w:pPr>
            <w:r>
              <w:rPr>
                <w:rFonts w:ascii="Calibri" w:cs="Calibri" w:eastAsia="Calibri" w:hAnsi="Calibri"/>
                <w:sz w:val="11"/>
                <w:szCs w:val="11"/>
                <w:color w:val="auto"/>
                <w:w w:val="97"/>
              </w:rPr>
              <w:t>5.5 (0.0)</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5.5 (0.1)</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5.6 (0.0)</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right w:val="single" w:sz="8" w:color="auto"/>
            </w:tcBorders>
          </w:tcPr>
          <w:p>
            <w:pPr>
              <w:ind w:left="120"/>
              <w:spacing w:after="0" w:line="123" w:lineRule="exact"/>
              <w:rPr>
                <w:sz w:val="20"/>
                <w:szCs w:val="20"/>
                <w:color w:val="auto"/>
              </w:rPr>
            </w:pPr>
            <w:r>
              <w:rPr>
                <w:rFonts w:ascii="Calibri" w:cs="Calibri" w:eastAsia="Calibri" w:hAnsi="Calibri"/>
                <w:sz w:val="11"/>
                <w:szCs w:val="11"/>
                <w:color w:val="auto"/>
              </w:rPr>
              <w:t>Week 48, %</w:t>
            </w:r>
          </w:p>
        </w:tc>
        <w:tc>
          <w:tcPr>
            <w:tcW w:w="1560" w:type="dxa"/>
            <w:vAlign w:val="bottom"/>
            <w:tcBorders>
              <w:right w:val="single" w:sz="8" w:color="auto"/>
            </w:tcBorders>
          </w:tcPr>
          <w:p>
            <w:pPr>
              <w:ind w:left="520"/>
              <w:spacing w:after="0" w:line="123" w:lineRule="exact"/>
              <w:rPr>
                <w:sz w:val="20"/>
                <w:szCs w:val="20"/>
                <w:color w:val="auto"/>
              </w:rPr>
            </w:pPr>
            <w:r>
              <w:rPr>
                <w:rFonts w:ascii="Calibri" w:cs="Calibri" w:eastAsia="Calibri" w:hAnsi="Calibri"/>
                <w:sz w:val="11"/>
                <w:szCs w:val="11"/>
                <w:color w:val="auto"/>
              </w:rPr>
              <w:t>mean (SE)</w:t>
            </w:r>
          </w:p>
        </w:tc>
        <w:tc>
          <w:tcPr>
            <w:tcW w:w="1200" w:type="dxa"/>
            <w:vAlign w:val="bottom"/>
            <w:tcBorders>
              <w:right w:val="single" w:sz="8" w:color="auto"/>
            </w:tcBorders>
          </w:tcPr>
          <w:p>
            <w:pPr>
              <w:jc w:val="center"/>
              <w:ind w:right="26"/>
              <w:spacing w:after="0" w:line="123" w:lineRule="exact"/>
              <w:rPr>
                <w:sz w:val="20"/>
                <w:szCs w:val="20"/>
                <w:color w:val="auto"/>
              </w:rPr>
            </w:pPr>
            <w:r>
              <w:rPr>
                <w:rFonts w:ascii="Calibri" w:cs="Calibri" w:eastAsia="Calibri" w:hAnsi="Calibri"/>
                <w:sz w:val="11"/>
                <w:szCs w:val="11"/>
                <w:color w:val="auto"/>
                <w:w w:val="97"/>
              </w:rPr>
              <w:t>5.5 (0.0)</w:t>
            </w:r>
          </w:p>
        </w:tc>
        <w:tc>
          <w:tcPr>
            <w:tcW w:w="1180" w:type="dxa"/>
            <w:vAlign w:val="bottom"/>
            <w:tcBorders>
              <w:right w:val="single" w:sz="8" w:color="auto"/>
            </w:tcBorders>
          </w:tcPr>
          <w:p>
            <w:pPr>
              <w:jc w:val="center"/>
              <w:ind w:right="6"/>
              <w:spacing w:after="0" w:line="123" w:lineRule="exact"/>
              <w:rPr>
                <w:sz w:val="20"/>
                <w:szCs w:val="20"/>
                <w:color w:val="auto"/>
              </w:rPr>
            </w:pPr>
            <w:r>
              <w:rPr>
                <w:rFonts w:ascii="Calibri" w:cs="Calibri" w:eastAsia="Calibri" w:hAnsi="Calibri"/>
                <w:sz w:val="11"/>
                <w:szCs w:val="11"/>
                <w:color w:val="auto"/>
                <w:w w:val="97"/>
              </w:rPr>
              <w:t>5.5 (0.0)</w:t>
            </w:r>
          </w:p>
        </w:tc>
        <w:tc>
          <w:tcPr>
            <w:tcW w:w="120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5.6 (0.1)</w:t>
            </w:r>
          </w:p>
        </w:tc>
        <w:tc>
          <w:tcPr>
            <w:tcW w:w="1180" w:type="dxa"/>
            <w:vAlign w:val="bottom"/>
            <w:tcBorders>
              <w:right w:val="single" w:sz="8" w:color="auto"/>
            </w:tcBorders>
          </w:tcPr>
          <w:p>
            <w:pPr>
              <w:jc w:val="center"/>
              <w:spacing w:after="0" w:line="123" w:lineRule="exact"/>
              <w:rPr>
                <w:sz w:val="20"/>
                <w:szCs w:val="20"/>
                <w:color w:val="auto"/>
              </w:rPr>
            </w:pPr>
            <w:r>
              <w:rPr>
                <w:rFonts w:ascii="Calibri" w:cs="Calibri" w:eastAsia="Calibri" w:hAnsi="Calibri"/>
                <w:sz w:val="11"/>
                <w:szCs w:val="11"/>
                <w:color w:val="auto"/>
                <w:w w:val="97"/>
              </w:rPr>
              <w:t>5.5 (0.1)</w:t>
            </w:r>
          </w:p>
        </w:tc>
        <w:tc>
          <w:tcPr>
            <w:tcW w:w="0" w:type="dxa"/>
            <w:vAlign w:val="bottom"/>
          </w:tcPr>
          <w:p>
            <w:pPr>
              <w:spacing w:after="0"/>
              <w:rPr>
                <w:sz w:val="1"/>
                <w:szCs w:val="1"/>
                <w:color w:val="auto"/>
              </w:rPr>
            </w:pP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9"/>
        </w:trPr>
        <w:tc>
          <w:tcPr>
            <w:tcW w:w="2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8" w:name="page9"/>
    <w:bookmarkEnd w:id="8"/>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840105" cy="605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40105" cy="605790"/>
                    </a:xfrm>
                    <a:prstGeom prst="rect">
                      <a:avLst/>
                    </a:prstGeom>
                    <a:noFill/>
                  </pic:spPr>
                </pic:pic>
              </a:graphicData>
            </a:graphic>
          </wp:anchor>
        </w:drawing>
      </w:r>
    </w:p>
    <w:p>
      <w:pPr>
        <w:ind w:left="180"/>
        <w:spacing w:after="0"/>
        <w:rPr>
          <w:sz w:val="20"/>
          <w:szCs w:val="20"/>
          <w:color w:val="auto"/>
        </w:rPr>
      </w:pPr>
      <w:r>
        <w:rPr>
          <w:rFonts w:ascii="Calibri" w:cs="Calibri" w:eastAsia="Calibri" w:hAnsi="Calibri"/>
          <w:sz w:val="13"/>
          <w:szCs w:val="13"/>
          <w:b w:val="1"/>
          <w:bCs w:val="1"/>
          <w:color w:val="auto"/>
        </w:rPr>
        <w:t>About Pemvidutde</w:t>
      </w:r>
    </w:p>
    <w:p>
      <w:pPr>
        <w:spacing w:after="0" w:line="5" w:lineRule="exact"/>
        <w:rPr>
          <w:sz w:val="20"/>
          <w:szCs w:val="20"/>
          <w:color w:val="auto"/>
        </w:rPr>
      </w:pPr>
    </w:p>
    <w:p>
      <w:pPr>
        <w:jc w:val="both"/>
        <w:ind w:left="180" w:right="199"/>
        <w:spacing w:after="0" w:line="220" w:lineRule="auto"/>
        <w:rPr>
          <w:sz w:val="20"/>
          <w:szCs w:val="20"/>
          <w:color w:val="auto"/>
        </w:rPr>
      </w:pPr>
      <w:r>
        <w:rPr>
          <w:rFonts w:ascii="Calibri" w:cs="Calibri" w:eastAsia="Calibri" w:hAnsi="Calibri"/>
          <w:sz w:val="13"/>
          <w:szCs w:val="13"/>
          <w:color w:val="auto"/>
        </w:rPr>
        <w:t>Pemvidutde is a novel, investgatonal, peptde-based GLP-1/glucagon dual receptor agonist in development for the treatment of obesity and metabolic dysfuncton-associated steatohepatts (MASH), formerly known as non-alcoholic steatohepatts (NASH). Actvaton of the GLP-1 and glucagon receptors is believed to mimic the complementary efects of diet and exercise on weight loss, with GLP-1 suppressing appette and glucagon increasing energy expenditure. Glucagon is also recognized as having direct efects on hepatc fat metabolism, leading to rapid reductons in levels of liver fat. Pemvidutde incorporates the EuPort</w:t>
      </w:r>
      <w:r>
        <w:rPr>
          <w:rFonts w:ascii="Calibri" w:cs="Calibri" w:eastAsia="Calibri" w:hAnsi="Calibri"/>
          <w:sz w:val="19"/>
          <w:szCs w:val="19"/>
          <w:color w:val="auto"/>
          <w:vertAlign w:val="superscript"/>
        </w:rPr>
        <w:t>TM</w:t>
      </w:r>
      <w:r>
        <w:rPr>
          <w:rFonts w:ascii="Calibri" w:cs="Calibri" w:eastAsia="Calibri" w:hAnsi="Calibri"/>
          <w:sz w:val="13"/>
          <w:szCs w:val="13"/>
          <w:color w:val="auto"/>
        </w:rPr>
        <w:t xml:space="preserve"> domain, a proprietary technology that increases its serum half-life for weekly dosing while likely slowing the entry of pemvidutde into the bloodstream, which may improve its tolerability.</w:t>
      </w:r>
    </w:p>
    <w:p>
      <w:pPr>
        <w:spacing w:after="0" w:line="156"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Conference Call Informaton</w:t>
      </w:r>
    </w:p>
    <w:p>
      <w:pPr>
        <w:jc w:val="both"/>
        <w:ind w:left="180" w:right="199"/>
        <w:spacing w:after="0" w:line="238" w:lineRule="auto"/>
        <w:rPr>
          <w:sz w:val="20"/>
          <w:szCs w:val="20"/>
          <w:color w:val="auto"/>
        </w:rPr>
      </w:pPr>
      <w:r>
        <w:rPr>
          <w:rFonts w:ascii="Calibri" w:cs="Calibri" w:eastAsia="Calibri" w:hAnsi="Calibri"/>
          <w:sz w:val="13"/>
          <w:szCs w:val="13"/>
          <w:color w:val="auto"/>
        </w:rPr>
        <w:t>Altmmune management will host a conference call and webcast with a slide presentaton presented by Dr. Scot Harris, Chief Medical Ofcer beginning at 8:30 am E.T. tomorrow. Following the conclusion of the call, the webcast will be available for replay on the Investor Relatons page of the Company’s website at www.altmmune.com. The Company has used, and intends to contnue to use, the IR porton of its website as a means of disclosing material non-public informaton and for complying with disclosure obligatons under Regulaton FD.</w:t>
      </w:r>
    </w:p>
    <w:p>
      <w:pPr>
        <w:spacing w:after="0" w:line="166"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Conference Call Details:</w:t>
      </w:r>
    </w:p>
    <w:p>
      <w:pPr>
        <w:ind w:left="180"/>
        <w:spacing w:after="0" w:line="231" w:lineRule="auto"/>
        <w:tabs>
          <w:tab w:leader="none" w:pos="1020" w:val="left"/>
        </w:tabs>
        <w:rPr>
          <w:sz w:val="20"/>
          <w:szCs w:val="20"/>
          <w:color w:val="auto"/>
        </w:rPr>
      </w:pPr>
      <w:r>
        <w:rPr>
          <w:rFonts w:ascii="Calibri" w:cs="Calibri" w:eastAsia="Calibri" w:hAnsi="Calibri"/>
          <w:sz w:val="13"/>
          <w:szCs w:val="13"/>
          <w:color w:val="auto"/>
        </w:rPr>
        <w:t>Date:</w:t>
      </w:r>
      <w:r>
        <w:rPr>
          <w:sz w:val="20"/>
          <w:szCs w:val="20"/>
          <w:color w:val="auto"/>
        </w:rPr>
        <w:tab/>
      </w:r>
      <w:r>
        <w:rPr>
          <w:rFonts w:ascii="Calibri" w:cs="Calibri" w:eastAsia="Calibri" w:hAnsi="Calibri"/>
          <w:sz w:val="13"/>
          <w:szCs w:val="13"/>
          <w:color w:val="auto"/>
        </w:rPr>
        <w:t>Friday, December 1</w:t>
      </w:r>
    </w:p>
    <w:p>
      <w:pPr>
        <w:spacing w:after="0" w:line="4" w:lineRule="exact"/>
        <w:rPr>
          <w:sz w:val="20"/>
          <w:szCs w:val="20"/>
          <w:color w:val="auto"/>
        </w:rPr>
      </w:pPr>
    </w:p>
    <w:p>
      <w:pPr>
        <w:ind w:left="180"/>
        <w:spacing w:after="0"/>
        <w:tabs>
          <w:tab w:leader="none" w:pos="1020" w:val="left"/>
        </w:tabs>
        <w:rPr>
          <w:sz w:val="20"/>
          <w:szCs w:val="20"/>
          <w:color w:val="auto"/>
        </w:rPr>
      </w:pPr>
      <w:r>
        <w:rPr>
          <w:rFonts w:ascii="Calibri" w:cs="Calibri" w:eastAsia="Calibri" w:hAnsi="Calibri"/>
          <w:sz w:val="13"/>
          <w:szCs w:val="13"/>
          <w:color w:val="auto"/>
        </w:rPr>
        <w:t>Time:</w:t>
      </w:r>
      <w:r>
        <w:rPr>
          <w:sz w:val="20"/>
          <w:szCs w:val="20"/>
          <w:color w:val="auto"/>
        </w:rPr>
        <w:tab/>
      </w:r>
      <w:r>
        <w:rPr>
          <w:rFonts w:ascii="Calibri" w:cs="Calibri" w:eastAsia="Calibri" w:hAnsi="Calibri"/>
          <w:sz w:val="13"/>
          <w:szCs w:val="13"/>
          <w:color w:val="auto"/>
        </w:rPr>
        <w:t>8:30 am Eastern Time</w:t>
      </w:r>
    </w:p>
    <w:p>
      <w:pPr>
        <w:ind w:left="180"/>
        <w:spacing w:after="0" w:line="231" w:lineRule="auto"/>
        <w:tabs>
          <w:tab w:leader="none" w:pos="1020" w:val="left"/>
        </w:tabs>
        <w:rPr>
          <w:sz w:val="20"/>
          <w:szCs w:val="20"/>
          <w:color w:val="auto"/>
        </w:rPr>
      </w:pPr>
      <w:r>
        <w:rPr>
          <w:rFonts w:ascii="Calibri" w:cs="Calibri" w:eastAsia="Calibri" w:hAnsi="Calibri"/>
          <w:sz w:val="13"/>
          <w:szCs w:val="13"/>
          <w:color w:val="auto"/>
        </w:rPr>
        <w:t>Webcast:</w:t>
      </w:r>
      <w:r>
        <w:rPr>
          <w:sz w:val="20"/>
          <w:szCs w:val="20"/>
          <w:color w:val="auto"/>
        </w:rPr>
        <w:tab/>
      </w:r>
      <w:r>
        <w:rPr>
          <w:rFonts w:ascii="Calibri" w:cs="Calibri" w:eastAsia="Calibri" w:hAnsi="Calibri"/>
          <w:sz w:val="13"/>
          <w:szCs w:val="13"/>
          <w:color w:val="auto"/>
        </w:rPr>
        <w:t>To listen, the conference call will be webcast live on Altmmune’s Investor Relatons website at htps://ir.altmmune.com/investors.</w:t>
      </w:r>
    </w:p>
    <w:p>
      <w:pPr>
        <w:spacing w:after="0" w:line="13" w:lineRule="exact"/>
        <w:rPr>
          <w:sz w:val="20"/>
          <w:szCs w:val="20"/>
          <w:color w:val="auto"/>
        </w:rPr>
      </w:pPr>
    </w:p>
    <w:p>
      <w:pPr>
        <w:ind w:left="180"/>
        <w:spacing w:after="0"/>
        <w:tabs>
          <w:tab w:leader="none" w:pos="1020" w:val="left"/>
        </w:tabs>
        <w:rPr>
          <w:sz w:val="20"/>
          <w:szCs w:val="20"/>
          <w:color w:val="auto"/>
        </w:rPr>
      </w:pPr>
      <w:r>
        <w:rPr>
          <w:rFonts w:ascii="Calibri" w:cs="Calibri" w:eastAsia="Calibri" w:hAnsi="Calibri"/>
          <w:sz w:val="13"/>
          <w:szCs w:val="13"/>
          <w:color w:val="auto"/>
        </w:rPr>
        <w:t>Dial-in:</w:t>
      </w:r>
      <w:r>
        <w:rPr>
          <w:sz w:val="20"/>
          <w:szCs w:val="20"/>
          <w:color w:val="auto"/>
        </w:rPr>
        <w:tab/>
      </w:r>
      <w:r>
        <w:rPr>
          <w:rFonts w:ascii="Calibri" w:cs="Calibri" w:eastAsia="Calibri" w:hAnsi="Calibri"/>
          <w:sz w:val="13"/>
          <w:szCs w:val="13"/>
          <w:color w:val="auto"/>
        </w:rPr>
        <w:t>To partcipate or dial-in, register here to receive the dial-in numbers and unique PIN to access the call.</w:t>
      </w:r>
    </w:p>
    <w:p>
      <w:pPr>
        <w:spacing w:after="0" w:line="183"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About Altmmune</w:t>
      </w:r>
    </w:p>
    <w:p>
      <w:pPr>
        <w:jc w:val="both"/>
        <w:ind w:left="180" w:right="199"/>
        <w:spacing w:after="0" w:line="238" w:lineRule="auto"/>
        <w:rPr>
          <w:sz w:val="20"/>
          <w:szCs w:val="20"/>
          <w:color w:val="auto"/>
        </w:rPr>
      </w:pPr>
      <w:r>
        <w:rPr>
          <w:rFonts w:ascii="Calibri" w:cs="Calibri" w:eastAsia="Calibri" w:hAnsi="Calibri"/>
          <w:sz w:val="13"/>
          <w:szCs w:val="13"/>
          <w:color w:val="auto"/>
        </w:rPr>
        <w:t>Altmmune is a clinical-stage biopharmaceutcal company focused on developing treatments for obesity and liver diseases. The Company’s lead product candidate, pemvidutde, is a GLP-1/glucagon dual receptor agonist that is being developed for the treatment of obesity and MASH, formerly known as NASH. In additon, Altmmune is developing HepTcell™, an immunotherapeutc designed to achieve a functonal cure for chronic hepatts B. For more informaton, please visit www.altmmune.com.</w:t>
      </w:r>
    </w:p>
    <w:p>
      <w:pPr>
        <w:spacing w:after="0" w:line="157"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Follow @Altmmune, Inc. on LinkedIn</w:t>
      </w:r>
    </w:p>
    <w:p>
      <w:pPr>
        <w:spacing w:after="0" w:line="3"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Follow @AltmmuneInc on Twiter</w:t>
      </w:r>
    </w:p>
    <w:p>
      <w:pPr>
        <w:spacing w:after="0" w:line="111"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Forward-Looking Statement</w:t>
      </w:r>
    </w:p>
    <w:p>
      <w:pPr>
        <w:jc w:val="both"/>
        <w:ind w:left="180" w:right="199"/>
        <w:spacing w:after="0" w:line="251" w:lineRule="auto"/>
        <w:rPr>
          <w:sz w:val="20"/>
          <w:szCs w:val="20"/>
          <w:color w:val="auto"/>
        </w:rPr>
      </w:pPr>
      <w:r>
        <w:rPr>
          <w:rFonts w:ascii="Calibri" w:cs="Calibri" w:eastAsia="Calibri" w:hAnsi="Calibri"/>
          <w:sz w:val="13"/>
          <w:szCs w:val="13"/>
          <w:color w:val="auto"/>
        </w:rPr>
        <w:t>Any statements made in this press release relatng to future fnancial or business performance, conditons, plans, prospects, trends, or strategies and other fnancial and business maters, including without limitaton, the prospects for the utlity of, regulatory approval, commercializing or selling any product or drug candidates, are forward-looking statements within the meaning of the Private Securites Litgaton Reform Act of 1995. In additon, when or if used in this press release, the words “may,” “could,”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243840</wp:posOffset>
            </wp:positionV>
            <wp:extent cx="5486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317500</wp:posOffset>
            </wp:positionV>
            <wp:extent cx="840105" cy="605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40105" cy="605790"/>
                    </a:xfrm>
                    <a:prstGeom prst="rect">
                      <a:avLst/>
                    </a:prstGeom>
                    <a:noFill/>
                  </pic:spPr>
                </pic:pic>
              </a:graphicData>
            </a:graphic>
          </wp:anchor>
        </w:drawing>
      </w:r>
    </w:p>
    <w:p>
      <w:pPr>
        <w:jc w:val="both"/>
        <w:ind w:left="180" w:right="199"/>
        <w:spacing w:after="0" w:line="255" w:lineRule="auto"/>
        <w:rPr>
          <w:sz w:val="20"/>
          <w:szCs w:val="20"/>
          <w:color w:val="auto"/>
        </w:rPr>
      </w:pPr>
      <w:r>
        <w:rPr>
          <w:rFonts w:ascii="Calibri" w:cs="Calibri" w:eastAsia="Calibri" w:hAnsi="Calibri"/>
          <w:sz w:val="13"/>
          <w:szCs w:val="13"/>
          <w:color w:val="auto"/>
        </w:rPr>
        <w:t>“antcipate,” “believe,” “estmate,” “expect,” “intend,” “plan,” “predict” and similar expressions and their variants, as they relate to Altmmune, Inc. may identfy forward-looking statements. The Company cautons that these forward-looking statements are subject to numerous assumptons, risks, and uncertaintes, which change over tme. Important factors that may cause actual results to difer materially from the results discussed in the forward looking statements or historical experience include risks and uncertaintes, including risks relatng to: delays in regulatory review, manufacturing and supply chain interruptons, access to clinical sites, enrollment, adverse efects on healthcare systems and disrupton of the global economy; the reliability of the results of studies relatng to human safety and possible adverse efects resultng from the administraton of the Company’s product candidates; the Company’s ability to manufacture clinical trial materials on the tmelines antcipated; and the success of future product advancements, including the success of future clinical trials. Further informaton on the factors and risks that could afect the Company's business, fnancial conditons and results of operatons are contained in the Company’s flings with the U.S. Securites and Exchange Commission (the “SEC”), including under the heading “Risk Factors” in the Company’s most recent annual report on Form 10-K and its other flings with the SEC, which are available at www.sec.gov.</w:t>
      </w:r>
    </w:p>
    <w:p>
      <w:pPr>
        <w:spacing w:after="0" w:line="256"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Investor Contact:</w:t>
      </w:r>
    </w:p>
    <w:p>
      <w:pPr>
        <w:ind w:left="180"/>
        <w:spacing w:after="0" w:line="231" w:lineRule="auto"/>
        <w:rPr>
          <w:sz w:val="20"/>
          <w:szCs w:val="20"/>
          <w:color w:val="auto"/>
        </w:rPr>
      </w:pPr>
      <w:r>
        <w:rPr>
          <w:rFonts w:ascii="Calibri" w:cs="Calibri" w:eastAsia="Calibri" w:hAnsi="Calibri"/>
          <w:sz w:val="13"/>
          <w:szCs w:val="13"/>
          <w:color w:val="auto"/>
        </w:rPr>
        <w:t>Rich Eisenstadt</w:t>
      </w:r>
    </w:p>
    <w:p>
      <w:pPr>
        <w:spacing w:after="0" w:line="4" w:lineRule="exact"/>
        <w:rPr>
          <w:sz w:val="20"/>
          <w:szCs w:val="20"/>
          <w:color w:val="auto"/>
        </w:rPr>
      </w:pPr>
    </w:p>
    <w:p>
      <w:pPr>
        <w:ind w:left="180"/>
        <w:spacing w:after="0"/>
        <w:rPr>
          <w:sz w:val="20"/>
          <w:szCs w:val="20"/>
          <w:color w:val="auto"/>
        </w:rPr>
      </w:pPr>
      <w:r>
        <w:rPr>
          <w:rFonts w:ascii="Calibri" w:cs="Calibri" w:eastAsia="Calibri" w:hAnsi="Calibri"/>
          <w:sz w:val="13"/>
          <w:szCs w:val="13"/>
          <w:color w:val="auto"/>
        </w:rPr>
        <w:t>Chief Financial Ofcer</w:t>
      </w:r>
    </w:p>
    <w:p>
      <w:pPr>
        <w:ind w:left="180"/>
        <w:spacing w:after="0" w:line="231" w:lineRule="auto"/>
        <w:rPr>
          <w:sz w:val="20"/>
          <w:szCs w:val="20"/>
          <w:color w:val="auto"/>
        </w:rPr>
      </w:pPr>
      <w:r>
        <w:rPr>
          <w:rFonts w:ascii="Calibri" w:cs="Calibri" w:eastAsia="Calibri" w:hAnsi="Calibri"/>
          <w:sz w:val="13"/>
          <w:szCs w:val="13"/>
          <w:color w:val="auto"/>
        </w:rPr>
        <w:t>Phone: 240-654-1450</w:t>
      </w:r>
    </w:p>
    <w:p>
      <w:pPr>
        <w:spacing w:after="0" w:line="4" w:lineRule="exact"/>
        <w:rPr>
          <w:sz w:val="20"/>
          <w:szCs w:val="20"/>
          <w:color w:val="auto"/>
        </w:rPr>
      </w:pPr>
    </w:p>
    <w:p>
      <w:pPr>
        <w:ind w:left="180"/>
        <w:spacing w:after="0"/>
        <w:rPr>
          <w:sz w:val="20"/>
          <w:szCs w:val="20"/>
          <w:color w:val="auto"/>
        </w:rPr>
      </w:pPr>
      <w:r>
        <w:rPr>
          <w:rFonts w:ascii="Calibri" w:cs="Calibri" w:eastAsia="Calibri" w:hAnsi="Calibri"/>
          <w:sz w:val="13"/>
          <w:szCs w:val="13"/>
          <w:color w:val="auto"/>
        </w:rPr>
        <w:t>reisenstadt@altmmune.com</w:t>
      </w:r>
    </w:p>
    <w:p>
      <w:pPr>
        <w:spacing w:after="0" w:line="165" w:lineRule="exact"/>
        <w:rPr>
          <w:sz w:val="20"/>
          <w:szCs w:val="20"/>
          <w:color w:val="auto"/>
        </w:rPr>
      </w:pPr>
    </w:p>
    <w:p>
      <w:pPr>
        <w:ind w:left="180"/>
        <w:spacing w:after="0"/>
        <w:rPr>
          <w:sz w:val="20"/>
          <w:szCs w:val="20"/>
          <w:color w:val="auto"/>
        </w:rPr>
      </w:pPr>
      <w:r>
        <w:rPr>
          <w:rFonts w:ascii="Calibri" w:cs="Calibri" w:eastAsia="Calibri" w:hAnsi="Calibri"/>
          <w:sz w:val="13"/>
          <w:szCs w:val="13"/>
          <w:b w:val="1"/>
          <w:bCs w:val="1"/>
          <w:color w:val="auto"/>
        </w:rPr>
        <w:t>Media Contact:</w:t>
      </w:r>
    </w:p>
    <w:p>
      <w:pPr>
        <w:spacing w:after="0" w:line="3" w:lineRule="exact"/>
        <w:rPr>
          <w:sz w:val="20"/>
          <w:szCs w:val="20"/>
          <w:color w:val="auto"/>
        </w:rPr>
      </w:pPr>
    </w:p>
    <w:p>
      <w:pPr>
        <w:ind w:left="180"/>
        <w:spacing w:after="0"/>
        <w:rPr>
          <w:sz w:val="20"/>
          <w:szCs w:val="20"/>
          <w:color w:val="auto"/>
        </w:rPr>
      </w:pPr>
      <w:r>
        <w:rPr>
          <w:rFonts w:ascii="Calibri" w:cs="Calibri" w:eastAsia="Calibri" w:hAnsi="Calibri"/>
          <w:sz w:val="13"/>
          <w:szCs w:val="13"/>
          <w:color w:val="auto"/>
        </w:rPr>
        <w:t>Danielle Duchene</w:t>
      </w:r>
    </w:p>
    <w:p>
      <w:pPr>
        <w:ind w:left="180"/>
        <w:spacing w:after="0" w:line="231" w:lineRule="auto"/>
        <w:rPr>
          <w:sz w:val="20"/>
          <w:szCs w:val="20"/>
          <w:color w:val="auto"/>
        </w:rPr>
      </w:pPr>
      <w:r>
        <w:rPr>
          <w:rFonts w:ascii="Calibri" w:cs="Calibri" w:eastAsia="Calibri" w:hAnsi="Calibri"/>
          <w:sz w:val="13"/>
          <w:szCs w:val="13"/>
          <w:color w:val="auto"/>
        </w:rPr>
        <w:t>Evoke Canale</w:t>
      </w:r>
    </w:p>
    <w:p>
      <w:pPr>
        <w:spacing w:after="0" w:line="4" w:lineRule="exact"/>
        <w:rPr>
          <w:sz w:val="20"/>
          <w:szCs w:val="20"/>
          <w:color w:val="auto"/>
        </w:rPr>
      </w:pPr>
    </w:p>
    <w:p>
      <w:pPr>
        <w:ind w:left="180"/>
        <w:spacing w:after="0"/>
        <w:rPr>
          <w:sz w:val="20"/>
          <w:szCs w:val="20"/>
          <w:color w:val="auto"/>
        </w:rPr>
      </w:pPr>
      <w:r>
        <w:rPr>
          <w:rFonts w:ascii="Calibri" w:cs="Calibri" w:eastAsia="Calibri" w:hAnsi="Calibri"/>
          <w:sz w:val="13"/>
          <w:szCs w:val="13"/>
          <w:color w:val="auto"/>
        </w:rPr>
        <w:t>Phone: 619-826-4878</w:t>
      </w:r>
    </w:p>
    <w:p>
      <w:pPr>
        <w:ind w:left="180"/>
        <w:spacing w:after="0" w:line="231" w:lineRule="auto"/>
        <w:rPr>
          <w:sz w:val="20"/>
          <w:szCs w:val="20"/>
          <w:color w:val="auto"/>
        </w:rPr>
      </w:pPr>
      <w:r>
        <w:rPr>
          <w:rFonts w:ascii="Calibri" w:cs="Calibri" w:eastAsia="Calibri" w:hAnsi="Calibri"/>
          <w:sz w:val="13"/>
          <w:szCs w:val="13"/>
          <w:color w:val="auto"/>
        </w:rPr>
        <w:t>Danielle.Duchene@canalecomm.com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236855</wp:posOffset>
            </wp:positionV>
            <wp:extent cx="5486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2023-11-30T15:34:52Z</dcterms:created>
  <dcterms:modified xsi:type="dcterms:W3CDTF">2023-11-30T15:34:52Z</dcterms:modified>
</cp:coreProperties>
</file>